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120" w:before="0"/>
        <w:jc w:val="center"/>
      </w:pPr>
      <w:r>
        <w:rPr>
          <w:rFonts w:ascii="Arial" w:cs="Arial" w:eastAsia="Arial" w:hAnsi="Arial"/>
          <w:b/>
          <w:bCs/>
          <w:color w:val="0B1F3A"/>
          <w:sz w:val="56"/>
          <w:szCs w:val="56"/>
        </w:rPr>
        <w:t xml:space="preserve">Rava</w:t>
      </w:r>
    </w:p>
    <w:p>
      <w:pPr>
        <w:spacing w:after="80" w:before="0"/>
        <w:jc w:val="center"/>
      </w:pPr>
      <w:r>
        <w:rPr>
          <w:rFonts w:ascii="Arial" w:cs="Arial" w:eastAsia="Arial" w:hAnsi="Arial"/>
          <w:color w:val="888888"/>
          <w:sz w:val="24"/>
          <w:szCs w:val="24"/>
        </w:rPr>
        <w:t xml:space="preserve">Terms and Conditions of Use</w:t>
      </w:r>
    </w:p>
    <w:p>
      <w:pPr>
        <w:spacing w:after="0" w:before="0"/>
      </w:pPr>
      <w:r>
        <w:rPr>
          <w:rFonts w:ascii="Arial" w:cs="Arial" w:eastAsia="Arial" w:hAnsi="Arial"/>
          <w:sz w:val="20"/>
          <w:szCs w:val="20"/>
        </w:rPr>
        <w:t xml:space="preserve"/>
      </w:r>
    </w:p>
    <w:p>
      <w:pPr>
        <w:spacing w:after="60" w:before="60"/>
        <w:jc w:val="center"/>
      </w:pPr>
      <w:r>
        <w:rPr>
          <w:rFonts w:ascii="Arial" w:cs="Arial" w:eastAsia="Arial" w:hAnsi="Arial"/>
          <w:b/>
          <w:bCs/>
          <w:color w:val="0B1F3A"/>
          <w:sz w:val="20"/>
          <w:szCs w:val="20"/>
        </w:rPr>
        <w:t xml:space="preserve">Effective Date: </w:t>
      </w:r>
      <w:r>
        <w:rPr>
          <w:rFonts w:ascii="Arial" w:cs="Arial" w:eastAsia="Arial" w:hAnsi="Arial"/>
          <w:color w:val="555555"/>
          <w:sz w:val="20"/>
          <w:szCs w:val="20"/>
        </w:rPr>
        <w:t xml:space="preserve">April 8, 2026</w:t>
      </w:r>
    </w:p>
    <w:p>
      <w:pPr>
        <w:spacing w:after="60" w:before="60"/>
        <w:jc w:val="center"/>
      </w:pPr>
      <w:r>
        <w:rPr>
          <w:rFonts w:ascii="Arial" w:cs="Arial" w:eastAsia="Arial" w:hAnsi="Arial"/>
          <w:b/>
          <w:bCs/>
          <w:color w:val="0B1F3A"/>
          <w:sz w:val="20"/>
          <w:szCs w:val="20"/>
        </w:rPr>
        <w:t xml:space="preserve">Governing Law: </w:t>
      </w:r>
      <w:r>
        <w:rPr>
          <w:rFonts w:ascii="Arial" w:cs="Arial" w:eastAsia="Arial" w:hAnsi="Arial"/>
          <w:color w:val="555555"/>
          <w:sz w:val="20"/>
          <w:szCs w:val="20"/>
        </w:rPr>
        <w:t xml:space="preserve">Federal Republic of Nigeria</w:t>
      </w:r>
    </w:p>
    <w:p>
      <w:pPr>
        <w:spacing w:after="60" w:before="60"/>
        <w:jc w:val="center"/>
      </w:pPr>
      <w:r>
        <w:rPr>
          <w:rFonts w:ascii="Arial" w:cs="Arial" w:eastAsia="Arial" w:hAnsi="Arial"/>
          <w:b/>
          <w:bCs/>
          <w:color w:val="0B1F3A"/>
          <w:sz w:val="20"/>
          <w:szCs w:val="20"/>
        </w:rPr>
        <w:t xml:space="preserve">Operator: </w:t>
      </w:r>
      <w:r>
        <w:rPr>
          <w:rFonts w:ascii="Arial" w:cs="Arial" w:eastAsia="Arial" w:hAnsi="Arial"/>
          <w:color w:val="555555"/>
          <w:sz w:val="20"/>
          <w:szCs w:val="20"/>
        </w:rPr>
        <w:t xml:space="preserve">Rava Technology Limited</w:t>
      </w:r>
    </w:p>
    <w:p>
      <w:pPr>
        <w:spacing w:after="60" w:before="60"/>
        <w:jc w:val="center"/>
      </w:pPr>
      <w:r>
        <w:rPr>
          <w:rFonts w:ascii="Arial" w:cs="Arial" w:eastAsia="Arial" w:hAnsi="Arial"/>
          <w:b/>
          <w:bCs/>
          <w:color w:val="0B1F3A"/>
          <w:sz w:val="20"/>
          <w:szCs w:val="20"/>
        </w:rPr>
        <w:t xml:space="preserve">Contact: </w:t>
      </w:r>
      <w:r>
        <w:rPr>
          <w:rFonts w:ascii="Arial" w:cs="Arial" w:eastAsia="Arial" w:hAnsi="Arial"/>
          <w:color w:val="555555"/>
          <w:sz w:val="20"/>
          <w:szCs w:val="20"/>
        </w:rPr>
        <w:t xml:space="preserve">legal@rava.io</w:t>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80" w:before="80"/>
        <w:jc w:val="both"/>
      </w:pPr>
      <w:r>
        <w:rPr>
          <w:rFonts w:ascii="Arial" w:cs="Arial" w:eastAsia="Arial" w:hAnsi="Arial"/>
          <w:color w:val="888888"/>
          <w:sz w:val="20"/>
          <w:szCs w:val="20"/>
        </w:rPr>
        <w:t xml:space="preserve">Please read these Terms and Conditions carefully before accessing or using the Rava platform. By registering, accessing, or using any Rava service, you agree to be legally bound by these Terms. If you do not agree, you must not use our platform.</w:t>
      </w:r>
    </w:p>
    <w:p>
      <w:pPr>
        <w:pBdr>
          <w:bottom w:val="single" w:color="DDDDDD" w:sz="4" w:space="1"/>
        </w:pBdr>
        <w:spacing w:after="200" w:before="200"/>
      </w:pPr>
      <w:r>
        <w:rPr>
          <w:rFonts w:ascii="Arial" w:cs="Arial" w:eastAsia="Arial" w:hAnsi="Arial"/>
          <w:sz w:val="4"/>
          <w:szCs w:val="4"/>
        </w:rPr>
        <w:t xml:space="preserve"/>
      </w:r>
    </w:p>
    <w:p>
      <w:pPr>
        <w:pStyle w:val="Heading1"/>
        <w:spacing w:after="160" w:before="400"/>
      </w:pPr>
      <w:r>
        <w:rPr>
          <w:rFonts w:ascii="Arial" w:cs="Arial" w:eastAsia="Arial" w:hAnsi="Arial"/>
          <w:b/>
          <w:bCs/>
          <w:color w:val="0B1F3A"/>
          <w:sz w:val="28"/>
          <w:szCs w:val="28"/>
        </w:rPr>
        <w:t xml:space="preserve">1. Definitions</w:t>
      </w:r>
    </w:p>
    <w:p>
      <w:pPr>
        <w:spacing w:after="80" w:before="80"/>
        <w:jc w:val="both"/>
      </w:pPr>
      <w:r>
        <w:rPr>
          <w:rFonts w:ascii="Arial" w:cs="Arial" w:eastAsia="Arial" w:hAnsi="Arial"/>
          <w:color w:val="555555"/>
          <w:sz w:val="20"/>
          <w:szCs w:val="20"/>
        </w:rPr>
        <w:t xml:space="preserve">In these Terms and Conditions, the following definitions apply:</w:t>
      </w:r>
    </w:p>
    <w:p>
      <w:pPr>
        <w:pStyle w:val="ListParagraph"/>
        <w:numPr>
          <w:ilvl w:val="0"/>
          <w:numId w:val="2"/>
        </w:numPr>
        <w:spacing w:after="60" w:before="60"/>
      </w:pPr>
      <w:r>
        <w:rPr>
          <w:rFonts w:ascii="Arial" w:cs="Arial" w:eastAsia="Arial" w:hAnsi="Arial"/>
          <w:color w:val="555555"/>
          <w:sz w:val="20"/>
          <w:szCs w:val="20"/>
        </w:rPr>
        <w:t xml:space="preserve">"Platform" means the Rava website, mobile application, and all associated digital services available at rava.io.</w:t>
      </w:r>
    </w:p>
    <w:p>
      <w:pPr>
        <w:pStyle w:val="ListParagraph"/>
        <w:numPr>
          <w:ilvl w:val="0"/>
          <w:numId w:val="2"/>
        </w:numPr>
        <w:spacing w:after="60" w:before="60"/>
      </w:pPr>
      <w:r>
        <w:rPr>
          <w:rFonts w:ascii="Arial" w:cs="Arial" w:eastAsia="Arial" w:hAnsi="Arial"/>
          <w:color w:val="555555"/>
          <w:sz w:val="20"/>
          <w:szCs w:val="20"/>
        </w:rPr>
        <w:t xml:space="preserve">"Rava", "we", "us", or "our" refers to Rava Technology Limited, a company incorporated under the laws of the Federal Republic of Nigeria.</w:t>
      </w:r>
    </w:p>
    <w:p>
      <w:pPr>
        <w:pStyle w:val="ListParagraph"/>
        <w:numPr>
          <w:ilvl w:val="0"/>
          <w:numId w:val="2"/>
        </w:numPr>
        <w:spacing w:after="60" w:before="60"/>
      </w:pPr>
      <w:r>
        <w:rPr>
          <w:rFonts w:ascii="Arial" w:cs="Arial" w:eastAsia="Arial" w:hAnsi="Arial"/>
          <w:color w:val="555555"/>
          <w:sz w:val="20"/>
          <w:szCs w:val="20"/>
        </w:rPr>
        <w:t xml:space="preserve">"User", "you", or "your" refers to any individual or entity who registers for or accesses the Platform, whether as a Landlord, Tenant, or Guest.</w:t>
      </w:r>
    </w:p>
    <w:p>
      <w:pPr>
        <w:pStyle w:val="ListParagraph"/>
        <w:numPr>
          <w:ilvl w:val="0"/>
          <w:numId w:val="2"/>
        </w:numPr>
        <w:spacing w:after="60" w:before="60"/>
      </w:pPr>
      <w:r>
        <w:rPr>
          <w:rFonts w:ascii="Arial" w:cs="Arial" w:eastAsia="Arial" w:hAnsi="Arial"/>
          <w:color w:val="555555"/>
          <w:sz w:val="20"/>
          <w:szCs w:val="20"/>
        </w:rPr>
        <w:t xml:space="preserve">"Landlord" means a registered User who lists one or more residential properties on the Platform.</w:t>
      </w:r>
    </w:p>
    <w:p>
      <w:pPr>
        <w:pStyle w:val="ListParagraph"/>
        <w:numPr>
          <w:ilvl w:val="0"/>
          <w:numId w:val="2"/>
        </w:numPr>
        <w:spacing w:after="60" w:before="60"/>
      </w:pPr>
      <w:r>
        <w:rPr>
          <w:rFonts w:ascii="Arial" w:cs="Arial" w:eastAsia="Arial" w:hAnsi="Arial"/>
          <w:color w:val="555555"/>
          <w:sz w:val="20"/>
          <w:szCs w:val="20"/>
        </w:rPr>
        <w:t xml:space="preserve">"Tenant" means a registered User who uses the Platform to search for, apply for, or rent residential property.</w:t>
      </w:r>
    </w:p>
    <w:p>
      <w:pPr>
        <w:pStyle w:val="ListParagraph"/>
        <w:numPr>
          <w:ilvl w:val="0"/>
          <w:numId w:val="2"/>
        </w:numPr>
        <w:spacing w:after="60" w:before="60"/>
      </w:pPr>
      <w:r>
        <w:rPr>
          <w:rFonts w:ascii="Arial" w:cs="Arial" w:eastAsia="Arial" w:hAnsi="Arial"/>
          <w:color w:val="555555"/>
          <w:sz w:val="20"/>
          <w:szCs w:val="20"/>
        </w:rPr>
        <w:t xml:space="preserve">"Listing" means a property advertisement posted by a Landlord on the Platform.</w:t>
      </w:r>
    </w:p>
    <w:p>
      <w:pPr>
        <w:pStyle w:val="ListParagraph"/>
        <w:numPr>
          <w:ilvl w:val="0"/>
          <w:numId w:val="2"/>
        </w:numPr>
        <w:spacing w:after="60" w:before="60"/>
      </w:pPr>
      <w:r>
        <w:rPr>
          <w:rFonts w:ascii="Arial" w:cs="Arial" w:eastAsia="Arial" w:hAnsi="Arial"/>
          <w:color w:val="555555"/>
          <w:sz w:val="20"/>
          <w:szCs w:val="20"/>
        </w:rPr>
        <w:t xml:space="preserve">"Rava Score" means the proprietary tenant creditworthiness scoring system operated by Rava.</w:t>
      </w:r>
    </w:p>
    <w:p>
      <w:pPr>
        <w:pStyle w:val="ListParagraph"/>
        <w:numPr>
          <w:ilvl w:val="0"/>
          <w:numId w:val="2"/>
        </w:numPr>
        <w:spacing w:after="60" w:before="60"/>
      </w:pPr>
      <w:r>
        <w:rPr>
          <w:rFonts w:ascii="Arial" w:cs="Arial" w:eastAsia="Arial" w:hAnsi="Arial"/>
          <w:color w:val="555555"/>
          <w:sz w:val="20"/>
          <w:szCs w:val="20"/>
        </w:rPr>
        <w:t xml:space="preserve">"Subscription" means a paid plan (Hustler, Oga, or Oga at the Top) purchased by a Landlord to access enhanced Platform features.</w:t>
      </w:r>
    </w:p>
    <w:p>
      <w:pPr>
        <w:pStyle w:val="ListParagraph"/>
        <w:numPr>
          <w:ilvl w:val="0"/>
          <w:numId w:val="2"/>
        </w:numPr>
        <w:spacing w:after="60" w:before="60"/>
      </w:pPr>
      <w:r>
        <w:rPr>
          <w:rFonts w:ascii="Arial" w:cs="Arial" w:eastAsia="Arial" w:hAnsi="Arial"/>
          <w:color w:val="555555"/>
          <w:sz w:val="20"/>
          <w:szCs w:val="20"/>
        </w:rPr>
        <w:t xml:space="preserve">"Inspection Service" means the physical property compliance inspection conducted by Rava or its authorised agents on behalf of a Landlord.</w:t>
      </w:r>
    </w:p>
    <w:p>
      <w:pPr>
        <w:pStyle w:val="ListParagraph"/>
        <w:numPr>
          <w:ilvl w:val="0"/>
          <w:numId w:val="2"/>
        </w:numPr>
        <w:spacing w:after="60" w:before="60"/>
      </w:pPr>
      <w:r>
        <w:rPr>
          <w:rFonts w:ascii="Arial" w:cs="Arial" w:eastAsia="Arial" w:hAnsi="Arial"/>
          <w:color w:val="555555"/>
          <w:sz w:val="20"/>
          <w:szCs w:val="20"/>
        </w:rPr>
        <w:t xml:space="preserve">"Content" means any text, images, data, documents, or other material submitted by Users to the Platform.</w:t>
      </w:r>
    </w:p>
    <w:p>
      <w:pPr>
        <w:pStyle w:val="Heading1"/>
        <w:spacing w:after="160" w:before="400"/>
      </w:pPr>
      <w:r>
        <w:rPr>
          <w:rFonts w:ascii="Arial" w:cs="Arial" w:eastAsia="Arial" w:hAnsi="Arial"/>
          <w:b/>
          <w:bCs/>
          <w:color w:val="0B1F3A"/>
          <w:sz w:val="28"/>
          <w:szCs w:val="28"/>
        </w:rPr>
        <w:t xml:space="preserve">2. Eligibility and Account Registration</w:t>
      </w:r>
    </w:p>
    <w:p>
      <w:pPr>
        <w:pStyle w:val="Heading2"/>
        <w:spacing w:after="120" w:before="300"/>
      </w:pPr>
      <w:r>
        <w:rPr>
          <w:rFonts w:ascii="Arial" w:cs="Arial" w:eastAsia="Arial" w:hAnsi="Arial"/>
          <w:b/>
          <w:bCs/>
          <w:color w:val="0B1F3A"/>
          <w:sz w:val="24"/>
          <w:szCs w:val="24"/>
        </w:rPr>
        <w:t xml:space="preserve">2.1 Eligibility</w:t>
      </w:r>
    </w:p>
    <w:p>
      <w:pPr>
        <w:spacing w:after="80" w:before="80"/>
        <w:jc w:val="both"/>
      </w:pPr>
      <w:r>
        <w:rPr>
          <w:rFonts w:ascii="Arial" w:cs="Arial" w:eastAsia="Arial" w:hAnsi="Arial"/>
          <w:color w:val="555555"/>
          <w:sz w:val="20"/>
          <w:szCs w:val="20"/>
        </w:rPr>
        <w:t xml:space="preserve">You must be at least 18 years of age to register on the Platform. By creating an account, you represent and warrant that you are of legal age and have the legal capacity to enter into a binding contract under Nigerian law.</w:t>
      </w:r>
    </w:p>
    <w:p>
      <w:pPr>
        <w:pStyle w:val="Heading2"/>
        <w:spacing w:after="120" w:before="300"/>
      </w:pPr>
      <w:r>
        <w:rPr>
          <w:rFonts w:ascii="Arial" w:cs="Arial" w:eastAsia="Arial" w:hAnsi="Arial"/>
          <w:b/>
          <w:bCs/>
          <w:color w:val="0B1F3A"/>
          <w:sz w:val="24"/>
          <w:szCs w:val="24"/>
        </w:rPr>
        <w:t xml:space="preserve">2.2 Account Accuracy</w:t>
      </w:r>
    </w:p>
    <w:p>
      <w:pPr>
        <w:spacing w:after="80" w:before="80"/>
        <w:jc w:val="both"/>
      </w:pPr>
      <w:r>
        <w:rPr>
          <w:rFonts w:ascii="Arial" w:cs="Arial" w:eastAsia="Arial" w:hAnsi="Arial"/>
          <w:color w:val="555555"/>
          <w:sz w:val="20"/>
          <w:szCs w:val="20"/>
        </w:rPr>
        <w:t xml:space="preserve">You agree to provide accurate, complete, and current information during registration and to update such information as necessary. Rava reserves the right to suspend or terminate any account where false, misleading, or incomplete information has been submitted.</w:t>
      </w:r>
    </w:p>
    <w:p>
      <w:pPr>
        <w:pStyle w:val="Heading2"/>
        <w:spacing w:after="120" w:before="300"/>
      </w:pPr>
      <w:r>
        <w:rPr>
          <w:rFonts w:ascii="Arial" w:cs="Arial" w:eastAsia="Arial" w:hAnsi="Arial"/>
          <w:b/>
          <w:bCs/>
          <w:color w:val="0B1F3A"/>
          <w:sz w:val="24"/>
          <w:szCs w:val="24"/>
        </w:rPr>
        <w:t xml:space="preserve">2.3 Account Security</w:t>
      </w:r>
    </w:p>
    <w:p>
      <w:pPr>
        <w:spacing w:after="80" w:before="80"/>
        <w:jc w:val="both"/>
      </w:pPr>
      <w:r>
        <w:rPr>
          <w:rFonts w:ascii="Arial" w:cs="Arial" w:eastAsia="Arial" w:hAnsi="Arial"/>
          <w:color w:val="555555"/>
          <w:sz w:val="20"/>
          <w:szCs w:val="20"/>
        </w:rPr>
        <w:t xml:space="preserve">You are solely responsible for maintaining the confidentiality of your login credentials. You agree to notify us immediately at legal@rava.io if you suspect any unauthorised access to your account. Rava shall not be liable for any loss or damage arising from your failure to protect your account credentials.</w:t>
      </w:r>
    </w:p>
    <w:p>
      <w:pPr>
        <w:pStyle w:val="Heading2"/>
        <w:spacing w:after="120" w:before="300"/>
      </w:pPr>
      <w:r>
        <w:rPr>
          <w:rFonts w:ascii="Arial" w:cs="Arial" w:eastAsia="Arial" w:hAnsi="Arial"/>
          <w:b/>
          <w:bCs/>
          <w:color w:val="0B1F3A"/>
          <w:sz w:val="24"/>
          <w:szCs w:val="24"/>
        </w:rPr>
        <w:t xml:space="preserve">2.4 One Account Per User</w:t>
      </w:r>
    </w:p>
    <w:p>
      <w:pPr>
        <w:spacing w:after="80" w:before="80"/>
        <w:jc w:val="both"/>
      </w:pPr>
      <w:r>
        <w:rPr>
          <w:rFonts w:ascii="Arial" w:cs="Arial" w:eastAsia="Arial" w:hAnsi="Arial"/>
          <w:color w:val="555555"/>
          <w:sz w:val="20"/>
          <w:szCs w:val="20"/>
        </w:rPr>
        <w:t xml:space="preserve">Each User is permitted one account on the Platform. Creating multiple accounts to circumvent restrictions, manipulate Rava Score, or abuse platform features is strictly prohibited and will result in permanent suspension of all associated accounts.</w:t>
      </w:r>
    </w:p>
    <w:p>
      <w:pPr>
        <w:pStyle w:val="Heading2"/>
        <w:spacing w:after="120" w:before="300"/>
      </w:pPr>
      <w:r>
        <w:rPr>
          <w:rFonts w:ascii="Arial" w:cs="Arial" w:eastAsia="Arial" w:hAnsi="Arial"/>
          <w:b/>
          <w:bCs/>
          <w:color w:val="0B1F3A"/>
          <w:sz w:val="24"/>
          <w:szCs w:val="24"/>
        </w:rPr>
        <w:t xml:space="preserve">2.5 Identity Verification</w:t>
      </w:r>
    </w:p>
    <w:p>
      <w:pPr>
        <w:spacing w:after="80" w:before="80"/>
        <w:jc w:val="both"/>
      </w:pPr>
      <w:r>
        <w:rPr>
          <w:rFonts w:ascii="Arial" w:cs="Arial" w:eastAsia="Arial" w:hAnsi="Arial"/>
          <w:color w:val="555555"/>
          <w:sz w:val="20"/>
          <w:szCs w:val="20"/>
        </w:rPr>
        <w:t xml:space="preserve">Rava may require Users to submit identity verification documents, including BVN (Bank Verification Number), NIN (National Identification Number), government-issued identification, or proof of address. Failure to complete required verification may limit your access to Platform features.</w:t>
      </w:r>
    </w:p>
    <w:p>
      <w:pPr>
        <w:pStyle w:val="Heading1"/>
        <w:spacing w:after="160" w:before="400"/>
      </w:pPr>
      <w:r>
        <w:rPr>
          <w:rFonts w:ascii="Arial" w:cs="Arial" w:eastAsia="Arial" w:hAnsi="Arial"/>
          <w:b/>
          <w:bCs/>
          <w:color w:val="0B1F3A"/>
          <w:sz w:val="28"/>
          <w:szCs w:val="28"/>
        </w:rPr>
        <w:t xml:space="preserve">3. Nature of the Platform</w:t>
      </w:r>
    </w:p>
    <w:p>
      <w:pPr>
        <w:pStyle w:val="Heading2"/>
        <w:spacing w:after="120" w:before="300"/>
      </w:pPr>
      <w:r>
        <w:rPr>
          <w:rFonts w:ascii="Arial" w:cs="Arial" w:eastAsia="Arial" w:hAnsi="Arial"/>
          <w:b/>
          <w:bCs/>
          <w:color w:val="0B1F3A"/>
          <w:sz w:val="24"/>
          <w:szCs w:val="24"/>
        </w:rPr>
        <w:t xml:space="preserve">3.1 Marketplace Only</w:t>
      </w:r>
    </w:p>
    <w:p>
      <w:pPr>
        <w:spacing w:after="80" w:before="80"/>
        <w:jc w:val="both"/>
      </w:pPr>
      <w:r>
        <w:rPr>
          <w:rFonts w:ascii="Arial" w:cs="Arial" w:eastAsia="Arial" w:hAnsi="Arial"/>
          <w:color w:val="555555"/>
          <w:sz w:val="20"/>
          <w:szCs w:val="20"/>
        </w:rPr>
        <w:t xml:space="preserve">Rava operates as a technology platform that facilitates direct connections between Landlords and Tenants. Rava is not a party to any tenancy agreement, lease, or rental transaction entered into between Users. Rava does not act as a property agent, estate agent, letting agent, or broker.</w:t>
      </w:r>
    </w:p>
    <w:p>
      <w:pPr>
        <w:pStyle w:val="Heading2"/>
        <w:spacing w:after="120" w:before="300"/>
      </w:pPr>
      <w:r>
        <w:rPr>
          <w:rFonts w:ascii="Arial" w:cs="Arial" w:eastAsia="Arial" w:hAnsi="Arial"/>
          <w:b/>
          <w:bCs/>
          <w:color w:val="0B1F3A"/>
          <w:sz w:val="24"/>
          <w:szCs w:val="24"/>
        </w:rPr>
        <w:t xml:space="preserve">3.2 No Agency Relationship</w:t>
      </w:r>
    </w:p>
    <w:p>
      <w:pPr>
        <w:spacing w:after="80" w:before="80"/>
        <w:jc w:val="both"/>
      </w:pPr>
      <w:r>
        <w:rPr>
          <w:rFonts w:ascii="Arial" w:cs="Arial" w:eastAsia="Arial" w:hAnsi="Arial"/>
          <w:color w:val="555555"/>
          <w:sz w:val="20"/>
          <w:szCs w:val="20"/>
        </w:rPr>
        <w:t xml:space="preserve">Nothing in these Terms or on the Platform creates an agency, employment, partnership, joint venture, or franchise relationship between Rava and any User. Landlords list properties independently, and Tenants engage with Landlords directly.</w:t>
      </w:r>
    </w:p>
    <w:p>
      <w:pPr>
        <w:pStyle w:val="Heading2"/>
        <w:spacing w:after="120" w:before="300"/>
      </w:pPr>
      <w:r>
        <w:rPr>
          <w:rFonts w:ascii="Arial" w:cs="Arial" w:eastAsia="Arial" w:hAnsi="Arial"/>
          <w:b/>
          <w:bCs/>
          <w:color w:val="0B1F3A"/>
          <w:sz w:val="24"/>
          <w:szCs w:val="24"/>
        </w:rPr>
        <w:t xml:space="preserve">3.3 No Guarantee of Transactions</w:t>
      </w:r>
    </w:p>
    <w:p>
      <w:pPr>
        <w:spacing w:after="80" w:before="80"/>
        <w:jc w:val="both"/>
      </w:pPr>
      <w:r>
        <w:rPr>
          <w:rFonts w:ascii="Arial" w:cs="Arial" w:eastAsia="Arial" w:hAnsi="Arial"/>
          <w:color w:val="555555"/>
          <w:sz w:val="20"/>
          <w:szCs w:val="20"/>
        </w:rPr>
        <w:t xml:space="preserve">Rava does not guarantee that a Landlord will accept any application, that a property will be available, that a Tenant will be found, or that any transaction will be completed. Rava merely facilitates introductions between parties.</w:t>
      </w:r>
    </w:p>
    <w:p>
      <w:pPr>
        <w:pStyle w:val="Heading1"/>
        <w:spacing w:after="160" w:before="400"/>
      </w:pPr>
      <w:r>
        <w:rPr>
          <w:rFonts w:ascii="Arial" w:cs="Arial" w:eastAsia="Arial" w:hAnsi="Arial"/>
          <w:b/>
          <w:bCs/>
          <w:color w:val="0B1F3A"/>
          <w:sz w:val="28"/>
          <w:szCs w:val="28"/>
        </w:rPr>
        <w:t xml:space="preserve">4. Landlord Obligations and Warranties</w:t>
      </w:r>
    </w:p>
    <w:p>
      <w:pPr>
        <w:pStyle w:val="Heading2"/>
        <w:spacing w:after="120" w:before="300"/>
      </w:pPr>
      <w:r>
        <w:rPr>
          <w:rFonts w:ascii="Arial" w:cs="Arial" w:eastAsia="Arial" w:hAnsi="Arial"/>
          <w:b/>
          <w:bCs/>
          <w:color w:val="0B1F3A"/>
          <w:sz w:val="24"/>
          <w:szCs w:val="24"/>
        </w:rPr>
        <w:t xml:space="preserve">4.1 Accuracy of Listings</w:t>
      </w:r>
    </w:p>
    <w:p>
      <w:pPr>
        <w:spacing w:after="80" w:before="80"/>
        <w:jc w:val="both"/>
      </w:pPr>
      <w:r>
        <w:rPr>
          <w:rFonts w:ascii="Arial" w:cs="Arial" w:eastAsia="Arial" w:hAnsi="Arial"/>
          <w:color w:val="555555"/>
          <w:sz w:val="20"/>
          <w:szCs w:val="20"/>
        </w:rPr>
        <w:t xml:space="preserve">By posting a Listing, you represent and warrant that:</w:t>
      </w:r>
    </w:p>
    <w:p>
      <w:pPr>
        <w:pStyle w:val="ListParagraph"/>
        <w:numPr>
          <w:ilvl w:val="0"/>
          <w:numId w:val="2"/>
        </w:numPr>
        <w:spacing w:after="60" w:before="60"/>
      </w:pPr>
      <w:r>
        <w:rPr>
          <w:rFonts w:ascii="Arial" w:cs="Arial" w:eastAsia="Arial" w:hAnsi="Arial"/>
          <w:color w:val="555555"/>
          <w:sz w:val="20"/>
          <w:szCs w:val="20"/>
        </w:rPr>
        <w:t xml:space="preserve">You are the legal owner of the property or are duly authorised to list it on behalf of the owner;</w:t>
      </w:r>
    </w:p>
    <w:p>
      <w:pPr>
        <w:pStyle w:val="ListParagraph"/>
        <w:numPr>
          <w:ilvl w:val="0"/>
          <w:numId w:val="2"/>
        </w:numPr>
        <w:spacing w:after="60" w:before="60"/>
      </w:pPr>
      <w:r>
        <w:rPr>
          <w:rFonts w:ascii="Arial" w:cs="Arial" w:eastAsia="Arial" w:hAnsi="Arial"/>
          <w:color w:val="555555"/>
          <w:sz w:val="20"/>
          <w:szCs w:val="20"/>
        </w:rPr>
        <w:t xml:space="preserve">All information in the Listing is accurate, complete, and not misleading;</w:t>
      </w:r>
    </w:p>
    <w:p>
      <w:pPr>
        <w:pStyle w:val="ListParagraph"/>
        <w:numPr>
          <w:ilvl w:val="0"/>
          <w:numId w:val="2"/>
        </w:numPr>
        <w:spacing w:after="60" w:before="60"/>
      </w:pPr>
      <w:r>
        <w:rPr>
          <w:rFonts w:ascii="Arial" w:cs="Arial" w:eastAsia="Arial" w:hAnsi="Arial"/>
          <w:color w:val="555555"/>
          <w:sz w:val="20"/>
          <w:szCs w:val="20"/>
        </w:rPr>
        <w:t xml:space="preserve">The property is legally available for rental and is not subject to any court order, injunction, or encumbrance that would prevent a lawful tenancy;</w:t>
      </w:r>
    </w:p>
    <w:p>
      <w:pPr>
        <w:pStyle w:val="ListParagraph"/>
        <w:numPr>
          <w:ilvl w:val="0"/>
          <w:numId w:val="2"/>
        </w:numPr>
        <w:spacing w:after="60" w:before="60"/>
      </w:pPr>
      <w:r>
        <w:rPr>
          <w:rFonts w:ascii="Arial" w:cs="Arial" w:eastAsia="Arial" w:hAnsi="Arial"/>
          <w:color w:val="555555"/>
          <w:sz w:val="20"/>
          <w:szCs w:val="20"/>
        </w:rPr>
        <w:t xml:space="preserve">The property complies with all applicable Nigerian health, safety, and habitability standards;</w:t>
      </w:r>
    </w:p>
    <w:p>
      <w:pPr>
        <w:pStyle w:val="ListParagraph"/>
        <w:numPr>
          <w:ilvl w:val="0"/>
          <w:numId w:val="2"/>
        </w:numPr>
        <w:spacing w:after="60" w:before="60"/>
      </w:pPr>
      <w:r>
        <w:rPr>
          <w:rFonts w:ascii="Arial" w:cs="Arial" w:eastAsia="Arial" w:hAnsi="Arial"/>
          <w:color w:val="555555"/>
          <w:sz w:val="20"/>
          <w:szCs w:val="20"/>
        </w:rPr>
        <w:t xml:space="preserve">You hold all necessary permits and consents required under applicable law, including but not limited to LASPPPA approvals where applicable.</w:t>
      </w:r>
    </w:p>
    <w:p>
      <w:pPr>
        <w:pStyle w:val="Heading2"/>
        <w:spacing w:after="120" w:before="300"/>
      </w:pPr>
      <w:r>
        <w:rPr>
          <w:rFonts w:ascii="Arial" w:cs="Arial" w:eastAsia="Arial" w:hAnsi="Arial"/>
          <w:b/>
          <w:bCs/>
          <w:color w:val="0B1F3A"/>
          <w:sz w:val="24"/>
          <w:szCs w:val="24"/>
        </w:rPr>
        <w:t xml:space="preserve">4.2 Prohibited Listings</w:t>
      </w:r>
    </w:p>
    <w:p>
      <w:pPr>
        <w:spacing w:after="80" w:before="80"/>
        <w:jc w:val="both"/>
      </w:pPr>
      <w:r>
        <w:rPr>
          <w:rFonts w:ascii="Arial" w:cs="Arial" w:eastAsia="Arial" w:hAnsi="Arial"/>
          <w:color w:val="555555"/>
          <w:sz w:val="20"/>
          <w:szCs w:val="20"/>
        </w:rPr>
        <w:t xml:space="preserve">The following are strictly prohibited on the Platform:</w:t>
      </w:r>
    </w:p>
    <w:p>
      <w:pPr>
        <w:pStyle w:val="ListParagraph"/>
        <w:numPr>
          <w:ilvl w:val="0"/>
          <w:numId w:val="2"/>
        </w:numPr>
        <w:spacing w:after="60" w:before="60"/>
      </w:pPr>
      <w:r>
        <w:rPr>
          <w:rFonts w:ascii="Arial" w:cs="Arial" w:eastAsia="Arial" w:hAnsi="Arial"/>
          <w:color w:val="555555"/>
          <w:sz w:val="20"/>
          <w:szCs w:val="20"/>
        </w:rPr>
        <w:t xml:space="preserve">Ghost listings — properties that do not exist or are not genuinely available;</w:t>
      </w:r>
    </w:p>
    <w:p>
      <w:pPr>
        <w:pStyle w:val="ListParagraph"/>
        <w:numPr>
          <w:ilvl w:val="0"/>
          <w:numId w:val="2"/>
        </w:numPr>
        <w:spacing w:after="60" w:before="60"/>
      </w:pPr>
      <w:r>
        <w:rPr>
          <w:rFonts w:ascii="Arial" w:cs="Arial" w:eastAsia="Arial" w:hAnsi="Arial"/>
          <w:color w:val="555555"/>
          <w:sz w:val="20"/>
          <w:szCs w:val="20"/>
        </w:rPr>
        <w:t xml:space="preserve">Duplicate listings for the same property;</w:t>
      </w:r>
    </w:p>
    <w:p>
      <w:pPr>
        <w:pStyle w:val="ListParagraph"/>
        <w:numPr>
          <w:ilvl w:val="0"/>
          <w:numId w:val="2"/>
        </w:numPr>
        <w:spacing w:after="60" w:before="60"/>
      </w:pPr>
      <w:r>
        <w:rPr>
          <w:rFonts w:ascii="Arial" w:cs="Arial" w:eastAsia="Arial" w:hAnsi="Arial"/>
          <w:color w:val="555555"/>
          <w:sz w:val="20"/>
          <w:szCs w:val="20"/>
        </w:rPr>
        <w:t xml:space="preserve">Properties with fraudulent, stolen, or forged title documents;</w:t>
      </w:r>
    </w:p>
    <w:p>
      <w:pPr>
        <w:pStyle w:val="ListParagraph"/>
        <w:numPr>
          <w:ilvl w:val="0"/>
          <w:numId w:val="2"/>
        </w:numPr>
        <w:spacing w:after="60" w:before="60"/>
      </w:pPr>
      <w:r>
        <w:rPr>
          <w:rFonts w:ascii="Arial" w:cs="Arial" w:eastAsia="Arial" w:hAnsi="Arial"/>
          <w:color w:val="555555"/>
          <w:sz w:val="20"/>
          <w:szCs w:val="20"/>
        </w:rPr>
        <w:t xml:space="preserve">Properties used or intended for use in unlawful activities.</w:t>
      </w:r>
    </w:p>
    <w:p>
      <w:pPr>
        <w:pStyle w:val="Heading2"/>
        <w:spacing w:after="120" w:before="300"/>
      </w:pPr>
      <w:r>
        <w:rPr>
          <w:rFonts w:ascii="Arial" w:cs="Arial" w:eastAsia="Arial" w:hAnsi="Arial"/>
          <w:b/>
          <w:bCs/>
          <w:color w:val="0B1F3A"/>
          <w:sz w:val="24"/>
          <w:szCs w:val="24"/>
        </w:rPr>
        <w:t xml:space="preserve">4.3 Landlord Ratings</w:t>
      </w:r>
    </w:p>
    <w:p>
      <w:pPr>
        <w:spacing w:after="80" w:before="80"/>
        <w:jc w:val="both"/>
      </w:pPr>
      <w:r>
        <w:rPr>
          <w:rFonts w:ascii="Arial" w:cs="Arial" w:eastAsia="Arial" w:hAnsi="Arial"/>
          <w:color w:val="555555"/>
          <w:sz w:val="20"/>
          <w:szCs w:val="20"/>
        </w:rPr>
        <w:t xml:space="preserve">Landlords understand and accept that verified Tenants may leave ratings and structured reviews on the Platform regarding their experience. Rava reserves the right to display, moderate, and publish such ratings. Landlords may submit a written response to any review but may not demand removal of factually accurate reviews.</w:t>
      </w:r>
    </w:p>
    <w:p>
      <w:pPr>
        <w:pStyle w:val="Heading2"/>
        <w:spacing w:after="120" w:before="300"/>
      </w:pPr>
      <w:r>
        <w:rPr>
          <w:rFonts w:ascii="Arial" w:cs="Arial" w:eastAsia="Arial" w:hAnsi="Arial"/>
          <w:b/>
          <w:bCs/>
          <w:color w:val="0B1F3A"/>
          <w:sz w:val="24"/>
          <w:szCs w:val="24"/>
        </w:rPr>
        <w:t xml:space="preserve">4.4 Inspection Cooperation</w:t>
      </w:r>
    </w:p>
    <w:p>
      <w:pPr>
        <w:spacing w:after="80" w:before="80"/>
        <w:jc w:val="both"/>
      </w:pPr>
      <w:r>
        <w:rPr>
          <w:rFonts w:ascii="Arial" w:cs="Arial" w:eastAsia="Arial" w:hAnsi="Arial"/>
          <w:color w:val="555555"/>
          <w:sz w:val="20"/>
          <w:szCs w:val="20"/>
        </w:rPr>
        <w:t xml:space="preserve">Where a Landlord has subscribed to a plan that includes the Rava Inspection Service, the Landlord authorises Rava or its designated agents to conduct scheduled physical inspections of listed properties occupied by Tenants. The Landlord must ensure that Tenants are informed of this provision in the tenancy agreement.</w:t>
      </w:r>
    </w:p>
    <w:p>
      <w:pPr>
        <w:pStyle w:val="Heading1"/>
        <w:spacing w:after="160" w:before="400"/>
      </w:pPr>
      <w:r>
        <w:rPr>
          <w:rFonts w:ascii="Arial" w:cs="Arial" w:eastAsia="Arial" w:hAnsi="Arial"/>
          <w:b/>
          <w:bCs/>
          <w:color w:val="0B1F3A"/>
          <w:sz w:val="28"/>
          <w:szCs w:val="28"/>
        </w:rPr>
        <w:t xml:space="preserve">5. Tenant Obligations and Warranties</w:t>
      </w:r>
    </w:p>
    <w:p>
      <w:pPr>
        <w:pStyle w:val="Heading2"/>
        <w:spacing w:after="120" w:before="300"/>
      </w:pPr>
      <w:r>
        <w:rPr>
          <w:rFonts w:ascii="Arial" w:cs="Arial" w:eastAsia="Arial" w:hAnsi="Arial"/>
          <w:b/>
          <w:bCs/>
          <w:color w:val="0B1F3A"/>
          <w:sz w:val="24"/>
          <w:szCs w:val="24"/>
        </w:rPr>
        <w:t xml:space="preserve">5.1 Accurate Information</w:t>
      </w:r>
    </w:p>
    <w:p>
      <w:pPr>
        <w:spacing w:after="80" w:before="80"/>
        <w:jc w:val="both"/>
      </w:pPr>
      <w:r>
        <w:rPr>
          <w:rFonts w:ascii="Arial" w:cs="Arial" w:eastAsia="Arial" w:hAnsi="Arial"/>
          <w:color w:val="555555"/>
          <w:sz w:val="20"/>
          <w:szCs w:val="20"/>
        </w:rPr>
        <w:t xml:space="preserve">By using the Platform as a Tenant, you represent and warrant that all personal, financial, and employment information you provide to the Platform or for the purposes of Rava Score is accurate and complete. Providing false information constitutes fraud and may be reported to relevant Nigerian authorities.</w:t>
      </w:r>
    </w:p>
    <w:p>
      <w:pPr>
        <w:pStyle w:val="Heading2"/>
        <w:spacing w:after="120" w:before="300"/>
      </w:pPr>
      <w:r>
        <w:rPr>
          <w:rFonts w:ascii="Arial" w:cs="Arial" w:eastAsia="Arial" w:hAnsi="Arial"/>
          <w:b/>
          <w:bCs/>
          <w:color w:val="0B1F3A"/>
          <w:sz w:val="24"/>
          <w:szCs w:val="24"/>
        </w:rPr>
        <w:t xml:space="preserve">5.2 Rava Score Consent</w:t>
      </w:r>
    </w:p>
    <w:p>
      <w:pPr>
        <w:spacing w:after="80" w:before="80"/>
        <w:jc w:val="both"/>
      </w:pPr>
      <w:r>
        <w:rPr>
          <w:rFonts w:ascii="Arial" w:cs="Arial" w:eastAsia="Arial" w:hAnsi="Arial"/>
          <w:color w:val="555555"/>
          <w:sz w:val="20"/>
          <w:szCs w:val="20"/>
        </w:rPr>
        <w:t xml:space="preserve">By completing a Rava Score profile, you expressly consent to Rava's collection, processing, and storage of your financial signals (via open banking APIs), identity data, employment information, and platform behaviour for the purpose of generating your creditworthiness score. You may withdraw this consent at any time by contacting us, subject to the consequences set out in our Privacy Policy.</w:t>
      </w:r>
    </w:p>
    <w:p>
      <w:pPr>
        <w:pStyle w:val="Heading2"/>
        <w:spacing w:after="120" w:before="300"/>
      </w:pPr>
      <w:r>
        <w:rPr>
          <w:rFonts w:ascii="Arial" w:cs="Arial" w:eastAsia="Arial" w:hAnsi="Arial"/>
          <w:b/>
          <w:bCs/>
          <w:color w:val="0B1F3A"/>
          <w:sz w:val="24"/>
          <w:szCs w:val="24"/>
        </w:rPr>
        <w:t xml:space="preserve">5.3 Compliance with Tenancy Terms</w:t>
      </w:r>
    </w:p>
    <w:p>
      <w:pPr>
        <w:spacing w:after="80" w:before="80"/>
        <w:jc w:val="both"/>
      </w:pPr>
      <w:r>
        <w:rPr>
          <w:rFonts w:ascii="Arial" w:cs="Arial" w:eastAsia="Arial" w:hAnsi="Arial"/>
          <w:color w:val="555555"/>
          <w:sz w:val="20"/>
          <w:szCs w:val="20"/>
        </w:rPr>
        <w:t xml:space="preserve">Tenants are responsible for complying with all terms of their tenancy agreement with the Landlord. Rava is not a party to such agreements and shall not be liable for any disputes arising between Tenants and Landlords.</w:t>
      </w:r>
    </w:p>
    <w:p>
      <w:pPr>
        <w:pStyle w:val="Heading2"/>
        <w:spacing w:after="120" w:before="300"/>
      </w:pPr>
      <w:r>
        <w:rPr>
          <w:rFonts w:ascii="Arial" w:cs="Arial" w:eastAsia="Arial" w:hAnsi="Arial"/>
          <w:b/>
          <w:bCs/>
          <w:color w:val="0B1F3A"/>
          <w:sz w:val="24"/>
          <w:szCs w:val="24"/>
        </w:rPr>
        <w:t xml:space="preserve">5.4 Inspection Compliance</w:t>
      </w:r>
    </w:p>
    <w:p>
      <w:pPr>
        <w:spacing w:after="80" w:before="80"/>
        <w:jc w:val="both"/>
      </w:pPr>
      <w:r>
        <w:rPr>
          <w:rFonts w:ascii="Arial" w:cs="Arial" w:eastAsia="Arial" w:hAnsi="Arial"/>
          <w:color w:val="555555"/>
          <w:sz w:val="20"/>
          <w:szCs w:val="20"/>
        </w:rPr>
        <w:t xml:space="preserve">Where a Tenant resides in a property subject to the Rava Inspection Service, the Tenant agrees to permit reasonable access for scheduled inspections, provided reasonable advance notice has been given. A Tenant's continued refusal to permit inspections may be reported to the Landlord and reflected in the Tenant's platform behaviour record.</w:t>
      </w:r>
    </w:p>
    <w:p>
      <w:pPr>
        <w:pStyle w:val="Heading2"/>
        <w:spacing w:after="120" w:before="300"/>
      </w:pPr>
      <w:r>
        <w:rPr>
          <w:rFonts w:ascii="Arial" w:cs="Arial" w:eastAsia="Arial" w:hAnsi="Arial"/>
          <w:b/>
          <w:bCs/>
          <w:color w:val="0B1F3A"/>
          <w:sz w:val="24"/>
          <w:szCs w:val="24"/>
        </w:rPr>
        <w:t xml:space="preserve">5.5 Prohibition on Subletting</w:t>
      </w:r>
    </w:p>
    <w:p>
      <w:pPr>
        <w:spacing w:after="80" w:before="80"/>
        <w:jc w:val="both"/>
      </w:pPr>
      <w:r>
        <w:rPr>
          <w:rFonts w:ascii="Arial" w:cs="Arial" w:eastAsia="Arial" w:hAnsi="Arial"/>
          <w:color w:val="555555"/>
          <w:sz w:val="20"/>
          <w:szCs w:val="20"/>
        </w:rPr>
        <w:t xml:space="preserve">Unless the Landlord has explicitly consented in writing, Tenants are prohibited from subletting, sharing, or otherwise permitting third parties to occupy all or part of a rented property obtained through the Platform.</w:t>
      </w:r>
    </w:p>
    <w:p>
      <w:pPr>
        <w:pStyle w:val="Heading1"/>
        <w:spacing w:after="160" w:before="400"/>
      </w:pPr>
      <w:r>
        <w:rPr>
          <w:rFonts w:ascii="Arial" w:cs="Arial" w:eastAsia="Arial" w:hAnsi="Arial"/>
          <w:b/>
          <w:bCs/>
          <w:color w:val="0B1F3A"/>
          <w:sz w:val="28"/>
          <w:szCs w:val="28"/>
        </w:rPr>
        <w:t xml:space="preserve">6. Rava Score</w:t>
      </w:r>
    </w:p>
    <w:p>
      <w:pPr>
        <w:pStyle w:val="Heading2"/>
        <w:spacing w:after="120" w:before="300"/>
      </w:pPr>
      <w:r>
        <w:rPr>
          <w:rFonts w:ascii="Arial" w:cs="Arial" w:eastAsia="Arial" w:hAnsi="Arial"/>
          <w:b/>
          <w:bCs/>
          <w:color w:val="0B1F3A"/>
          <w:sz w:val="24"/>
          <w:szCs w:val="24"/>
        </w:rPr>
        <w:t xml:space="preserve">6.1 Proprietary System</w:t>
      </w:r>
    </w:p>
    <w:p>
      <w:pPr>
        <w:spacing w:after="80" w:before="80"/>
        <w:jc w:val="both"/>
      </w:pPr>
      <w:r>
        <w:rPr>
          <w:rFonts w:ascii="Arial" w:cs="Arial" w:eastAsia="Arial" w:hAnsi="Arial"/>
          <w:color w:val="555555"/>
          <w:sz w:val="20"/>
          <w:szCs w:val="20"/>
        </w:rPr>
        <w:t xml:space="preserve">Rava Score is a proprietary creditworthiness scoring system developed and owned exclusively by Rava Technology Limited. The scoring methodology, algorithms, weightings, and tier thresholds are trade secrets and confidential information of Rava.</w:t>
      </w:r>
    </w:p>
    <w:p>
      <w:pPr>
        <w:pStyle w:val="Heading2"/>
        <w:spacing w:after="120" w:before="300"/>
      </w:pPr>
      <w:r>
        <w:rPr>
          <w:rFonts w:ascii="Arial" w:cs="Arial" w:eastAsia="Arial" w:hAnsi="Arial"/>
          <w:b/>
          <w:bCs/>
          <w:color w:val="0B1F3A"/>
          <w:sz w:val="24"/>
          <w:szCs w:val="24"/>
        </w:rPr>
        <w:t xml:space="preserve">6.2 Scoring Dimensions</w:t>
      </w:r>
    </w:p>
    <w:p>
      <w:pPr>
        <w:spacing w:after="80" w:before="80"/>
        <w:jc w:val="both"/>
      </w:pPr>
      <w:r>
        <w:rPr>
          <w:rFonts w:ascii="Arial" w:cs="Arial" w:eastAsia="Arial" w:hAnsi="Arial"/>
          <w:color w:val="555555"/>
          <w:sz w:val="20"/>
          <w:szCs w:val="20"/>
        </w:rPr>
        <w:t xml:space="preserve">Rava Score is calculated based on multiple dimensions including but not limited to identity verification status, open banking financial signals, employment stability, platform behaviour history, and prior rental history. Scores are assigned on a tiered basis: Rava Verified, Rava Trusted, and Rava Prime.</w:t>
      </w:r>
    </w:p>
    <w:p>
      <w:pPr>
        <w:pStyle w:val="Heading2"/>
        <w:spacing w:after="120" w:before="300"/>
      </w:pPr>
      <w:r>
        <w:rPr>
          <w:rFonts w:ascii="Arial" w:cs="Arial" w:eastAsia="Arial" w:hAnsi="Arial"/>
          <w:b/>
          <w:bCs/>
          <w:color w:val="0B1F3A"/>
          <w:sz w:val="24"/>
          <w:szCs w:val="24"/>
        </w:rPr>
        <w:t xml:space="preserve">6.3 Score Accuracy Disclaimer</w:t>
      </w:r>
    </w:p>
    <w:p>
      <w:pPr>
        <w:spacing w:after="80" w:before="80"/>
        <w:jc w:val="both"/>
      </w:pPr>
      <w:r>
        <w:rPr>
          <w:rFonts w:ascii="Arial" w:cs="Arial" w:eastAsia="Arial" w:hAnsi="Arial"/>
          <w:color w:val="555555"/>
          <w:sz w:val="20"/>
          <w:szCs w:val="20"/>
        </w:rPr>
        <w:t xml:space="preserve">While Rava endeavours to ensure the accuracy of Rava Score assessments, scores are indicative only and do not constitute a guarantee of a Tenant's future behaviour or financial capacity. Landlords should exercise their own judgment when making tenancy decisions.</w:t>
      </w:r>
    </w:p>
    <w:p>
      <w:pPr>
        <w:pStyle w:val="Heading2"/>
        <w:spacing w:after="120" w:before="300"/>
      </w:pPr>
      <w:r>
        <w:rPr>
          <w:rFonts w:ascii="Arial" w:cs="Arial" w:eastAsia="Arial" w:hAnsi="Arial"/>
          <w:b/>
          <w:bCs/>
          <w:color w:val="0B1F3A"/>
          <w:sz w:val="24"/>
          <w:szCs w:val="24"/>
        </w:rPr>
        <w:t xml:space="preserve">6.4 Fraud Prevention</w:t>
      </w:r>
    </w:p>
    <w:p>
      <w:pPr>
        <w:spacing w:after="80" w:before="80"/>
        <w:jc w:val="both"/>
      </w:pPr>
      <w:r>
        <w:rPr>
          <w:rFonts w:ascii="Arial" w:cs="Arial" w:eastAsia="Arial" w:hAnsi="Arial"/>
          <w:color w:val="555555"/>
          <w:sz w:val="20"/>
          <w:szCs w:val="20"/>
        </w:rPr>
        <w:t xml:space="preserve">Rava employs BVN-linked multi-account detection and other fraud prevention mechanisms. Any attempt to manipulate, game, or circumvent the Rava Score system — including selectively connecting financial accounts, providing false documentation, or creating duplicate profiles — will result in immediate account suspension and may be reported to the Nigerian Financial Intelligence Unit (NFIU) or other relevant authorities.</w:t>
      </w:r>
    </w:p>
    <w:p>
      <w:pPr>
        <w:pStyle w:val="Heading2"/>
        <w:spacing w:after="120" w:before="300"/>
      </w:pPr>
      <w:r>
        <w:rPr>
          <w:rFonts w:ascii="Arial" w:cs="Arial" w:eastAsia="Arial" w:hAnsi="Arial"/>
          <w:b/>
          <w:bCs/>
          <w:color w:val="0B1F3A"/>
          <w:sz w:val="24"/>
          <w:szCs w:val="24"/>
        </w:rPr>
        <w:t xml:space="preserve">6.5 Score Disputes</w:t>
      </w:r>
    </w:p>
    <w:p>
      <w:pPr>
        <w:spacing w:after="80" w:before="80"/>
        <w:jc w:val="both"/>
      </w:pPr>
      <w:r>
        <w:rPr>
          <w:rFonts w:ascii="Arial" w:cs="Arial" w:eastAsia="Arial" w:hAnsi="Arial"/>
          <w:color w:val="555555"/>
          <w:sz w:val="20"/>
          <w:szCs w:val="20"/>
        </w:rPr>
        <w:t xml:space="preserve">Users who believe their Rava Score contains an error may raise a formal dispute by submitting a written request to legal@rava.io. Rava will review the dispute within 14 business days and provide a written determination. Rava's determination on scoring disputes is final.</w:t>
      </w:r>
    </w:p>
    <w:p>
      <w:pPr>
        <w:pStyle w:val="Heading1"/>
        <w:spacing w:after="160" w:before="400"/>
      </w:pPr>
      <w:r>
        <w:rPr>
          <w:rFonts w:ascii="Arial" w:cs="Arial" w:eastAsia="Arial" w:hAnsi="Arial"/>
          <w:b/>
          <w:bCs/>
          <w:color w:val="0B1F3A"/>
          <w:sz w:val="28"/>
          <w:szCs w:val="28"/>
        </w:rPr>
        <w:t xml:space="preserve">7. Subscription Plans and Payments</w:t>
      </w:r>
    </w:p>
    <w:p>
      <w:pPr>
        <w:pStyle w:val="Heading2"/>
        <w:spacing w:after="120" w:before="300"/>
      </w:pPr>
      <w:r>
        <w:rPr>
          <w:rFonts w:ascii="Arial" w:cs="Arial" w:eastAsia="Arial" w:hAnsi="Arial"/>
          <w:b/>
          <w:bCs/>
          <w:color w:val="0B1F3A"/>
          <w:sz w:val="24"/>
          <w:szCs w:val="24"/>
        </w:rPr>
        <w:t xml:space="preserve">7.1 Subscription Tiers</w:t>
      </w:r>
    </w:p>
    <w:p>
      <w:pPr>
        <w:spacing w:after="80" w:before="80"/>
        <w:jc w:val="both"/>
      </w:pPr>
      <w:r>
        <w:rPr>
          <w:rFonts w:ascii="Arial" w:cs="Arial" w:eastAsia="Arial" w:hAnsi="Arial"/>
          <w:color w:val="555555"/>
          <w:sz w:val="20"/>
          <w:szCs w:val="20"/>
        </w:rPr>
        <w:t xml:space="preserve">Rava offers the following subscription plans for Landlords: Free, Hustler, Oga, and Oga at the Top. The features, limitations, and pricing of each tier are as published on the Platform from time to time and may be updated with 30 days' notice to subscribers.</w:t>
      </w:r>
    </w:p>
    <w:p>
      <w:pPr>
        <w:pStyle w:val="Heading2"/>
        <w:spacing w:after="120" w:before="300"/>
      </w:pPr>
      <w:r>
        <w:rPr>
          <w:rFonts w:ascii="Arial" w:cs="Arial" w:eastAsia="Arial" w:hAnsi="Arial"/>
          <w:b/>
          <w:bCs/>
          <w:color w:val="0B1F3A"/>
          <w:sz w:val="24"/>
          <w:szCs w:val="24"/>
        </w:rPr>
        <w:t xml:space="preserve">7.2 Billing</w:t>
      </w:r>
    </w:p>
    <w:p>
      <w:pPr>
        <w:spacing w:after="80" w:before="80"/>
        <w:jc w:val="both"/>
      </w:pPr>
      <w:r>
        <w:rPr>
          <w:rFonts w:ascii="Arial" w:cs="Arial" w:eastAsia="Arial" w:hAnsi="Arial"/>
          <w:color w:val="555555"/>
          <w:sz w:val="20"/>
          <w:szCs w:val="20"/>
        </w:rPr>
        <w:t xml:space="preserve">Subscription fees are billed monthly in advance in Nigerian Naira (NGN). Rava reserves the right to adjust pricing with 30 days' written notice. Continued use of a paid plan after the notice period constitutes acceptance of the revised pricing.</w:t>
      </w:r>
    </w:p>
    <w:p>
      <w:pPr>
        <w:pStyle w:val="Heading2"/>
        <w:spacing w:after="120" w:before="300"/>
      </w:pPr>
      <w:r>
        <w:rPr>
          <w:rFonts w:ascii="Arial" w:cs="Arial" w:eastAsia="Arial" w:hAnsi="Arial"/>
          <w:b/>
          <w:bCs/>
          <w:color w:val="0B1F3A"/>
          <w:sz w:val="24"/>
          <w:szCs w:val="24"/>
        </w:rPr>
        <w:t xml:space="preserve">7.3 No Refunds</w:t>
      </w:r>
    </w:p>
    <w:p>
      <w:pPr>
        <w:spacing w:after="80" w:before="80"/>
        <w:jc w:val="both"/>
      </w:pPr>
      <w:r>
        <w:rPr>
          <w:rFonts w:ascii="Arial" w:cs="Arial" w:eastAsia="Arial" w:hAnsi="Arial"/>
          <w:color w:val="555555"/>
          <w:sz w:val="20"/>
          <w:szCs w:val="20"/>
        </w:rPr>
        <w:t xml:space="preserve">All subscription payments are non-refundable except where required by applicable Nigerian consumer protection law. Unused features within a billing period do not entitle a User to a partial refund or credit.</w:t>
      </w:r>
    </w:p>
    <w:p>
      <w:pPr>
        <w:pStyle w:val="Heading2"/>
        <w:spacing w:after="120" w:before="300"/>
      </w:pPr>
      <w:r>
        <w:rPr>
          <w:rFonts w:ascii="Arial" w:cs="Arial" w:eastAsia="Arial" w:hAnsi="Arial"/>
          <w:b/>
          <w:bCs/>
          <w:color w:val="0B1F3A"/>
          <w:sz w:val="24"/>
          <w:szCs w:val="24"/>
        </w:rPr>
        <w:t xml:space="preserve">7.4 Downgrade and Cancellation</w:t>
      </w:r>
    </w:p>
    <w:p>
      <w:pPr>
        <w:spacing w:after="80" w:before="80"/>
        <w:jc w:val="both"/>
      </w:pPr>
      <w:r>
        <w:rPr>
          <w:rFonts w:ascii="Arial" w:cs="Arial" w:eastAsia="Arial" w:hAnsi="Arial"/>
          <w:color w:val="555555"/>
          <w:sz w:val="20"/>
          <w:szCs w:val="20"/>
        </w:rPr>
        <w:t xml:space="preserve">Users may downgrade or cancel their subscription at any time through their account settings. Cancellation takes effect at the end of the current billing period. Features associated with the cancelled tier will no longer be available after the billing period ends.</w:t>
      </w:r>
    </w:p>
    <w:p>
      <w:pPr>
        <w:pStyle w:val="Heading2"/>
        <w:spacing w:after="120" w:before="300"/>
      </w:pPr>
      <w:r>
        <w:rPr>
          <w:rFonts w:ascii="Arial" w:cs="Arial" w:eastAsia="Arial" w:hAnsi="Arial"/>
          <w:b/>
          <w:bCs/>
          <w:color w:val="0B1F3A"/>
          <w:sz w:val="24"/>
          <w:szCs w:val="24"/>
        </w:rPr>
        <w:t xml:space="preserve">7.5 Failed Payments</w:t>
      </w:r>
    </w:p>
    <w:p>
      <w:pPr>
        <w:spacing w:after="80" w:before="80"/>
        <w:jc w:val="both"/>
      </w:pPr>
      <w:r>
        <w:rPr>
          <w:rFonts w:ascii="Arial" w:cs="Arial" w:eastAsia="Arial" w:hAnsi="Arial"/>
          <w:color w:val="555555"/>
          <w:sz w:val="20"/>
          <w:szCs w:val="20"/>
        </w:rPr>
        <w:t xml:space="preserve">Where a subscription payment fails, Rava will make reasonable attempts to collect payment. If payment remains outstanding after 7 days, the account will be downgraded to the Free tier and listed properties may be deprioritised in search results.</w:t>
      </w:r>
    </w:p>
    <w:p>
      <w:pPr>
        <w:pStyle w:val="Heading1"/>
        <w:spacing w:after="160" w:before="400"/>
      </w:pPr>
      <w:r>
        <w:rPr>
          <w:rFonts w:ascii="Arial" w:cs="Arial" w:eastAsia="Arial" w:hAnsi="Arial"/>
          <w:b/>
          <w:bCs/>
          <w:color w:val="0B1F3A"/>
          <w:sz w:val="28"/>
          <w:szCs w:val="28"/>
        </w:rPr>
        <w:t xml:space="preserve">8. Property Inspection Service</w:t>
      </w:r>
    </w:p>
    <w:p>
      <w:pPr>
        <w:pStyle w:val="Heading2"/>
        <w:spacing w:after="120" w:before="300"/>
      </w:pPr>
      <w:r>
        <w:rPr>
          <w:rFonts w:ascii="Arial" w:cs="Arial" w:eastAsia="Arial" w:hAnsi="Arial"/>
          <w:b/>
          <w:bCs/>
          <w:color w:val="0B1F3A"/>
          <w:sz w:val="24"/>
          <w:szCs w:val="24"/>
        </w:rPr>
        <w:t xml:space="preserve">8.1 Service Description</w:t>
      </w:r>
    </w:p>
    <w:p>
      <w:pPr>
        <w:spacing w:after="80" w:before="80"/>
        <w:jc w:val="both"/>
      </w:pPr>
      <w:r>
        <w:rPr>
          <w:rFonts w:ascii="Arial" w:cs="Arial" w:eastAsia="Arial" w:hAnsi="Arial"/>
          <w:color w:val="555555"/>
          <w:sz w:val="20"/>
          <w:szCs w:val="20"/>
        </w:rPr>
        <w:t xml:space="preserve">The Rava Inspection Service involves physical visits to occupied rental properties by Rava-trained inspectors or authorised inspection partners. Inspections assess property condition, cleanliness, occupant compliance, and absence of unauthorised subletting.</w:t>
      </w:r>
    </w:p>
    <w:p>
      <w:pPr>
        <w:pStyle w:val="Heading2"/>
        <w:spacing w:after="120" w:before="300"/>
      </w:pPr>
      <w:r>
        <w:rPr>
          <w:rFonts w:ascii="Arial" w:cs="Arial" w:eastAsia="Arial" w:hAnsi="Arial"/>
          <w:b/>
          <w:bCs/>
          <w:color w:val="0B1F3A"/>
          <w:sz w:val="24"/>
          <w:szCs w:val="24"/>
        </w:rPr>
        <w:t xml:space="preserve">8.2 Inspection Reports</w:t>
      </w:r>
    </w:p>
    <w:p>
      <w:pPr>
        <w:spacing w:after="80" w:before="80"/>
        <w:jc w:val="both"/>
      </w:pPr>
      <w:r>
        <w:rPr>
          <w:rFonts w:ascii="Arial" w:cs="Arial" w:eastAsia="Arial" w:hAnsi="Arial"/>
          <w:color w:val="555555"/>
          <w:sz w:val="20"/>
          <w:szCs w:val="20"/>
        </w:rPr>
        <w:t xml:space="preserve">Following each inspection, a written report including photographic evidence will be delivered to the Landlord's dashboard within 5 business days. Inspection reports are confidential between Rava and the subscribing Landlord.</w:t>
      </w:r>
    </w:p>
    <w:p>
      <w:pPr>
        <w:pStyle w:val="Heading2"/>
        <w:spacing w:after="120" w:before="300"/>
      </w:pPr>
      <w:r>
        <w:rPr>
          <w:rFonts w:ascii="Arial" w:cs="Arial" w:eastAsia="Arial" w:hAnsi="Arial"/>
          <w:b/>
          <w:bCs/>
          <w:color w:val="0B1F3A"/>
          <w:sz w:val="24"/>
          <w:szCs w:val="24"/>
        </w:rPr>
        <w:t xml:space="preserve">8.3 Geographic Availability</w:t>
      </w:r>
    </w:p>
    <w:p>
      <w:pPr>
        <w:spacing w:after="80" w:before="80"/>
        <w:jc w:val="both"/>
      </w:pPr>
      <w:r>
        <w:rPr>
          <w:rFonts w:ascii="Arial" w:cs="Arial" w:eastAsia="Arial" w:hAnsi="Arial"/>
          <w:color w:val="555555"/>
          <w:sz w:val="20"/>
          <w:szCs w:val="20"/>
        </w:rPr>
        <w:t xml:space="preserve">The Inspection Service is initially available in Lagos State only. Availability in other states will be communicated on the Platform as the service expands. Subscriptions that include inspections in regions where the service is not yet available will receive equivalent value in additional listings or platform credits.</w:t>
      </w:r>
    </w:p>
    <w:p>
      <w:pPr>
        <w:pStyle w:val="Heading2"/>
        <w:spacing w:after="120" w:before="300"/>
      </w:pPr>
      <w:r>
        <w:rPr>
          <w:rFonts w:ascii="Arial" w:cs="Arial" w:eastAsia="Arial" w:hAnsi="Arial"/>
          <w:b/>
          <w:bCs/>
          <w:color w:val="0B1F3A"/>
          <w:sz w:val="24"/>
          <w:szCs w:val="24"/>
        </w:rPr>
        <w:t xml:space="preserve">8.4 Limitation of Liability for Inspections</w:t>
      </w:r>
    </w:p>
    <w:p>
      <w:pPr>
        <w:spacing w:after="80" w:before="80"/>
        <w:jc w:val="both"/>
      </w:pPr>
      <w:r>
        <w:rPr>
          <w:rFonts w:ascii="Arial" w:cs="Arial" w:eastAsia="Arial" w:hAnsi="Arial"/>
          <w:color w:val="555555"/>
          <w:sz w:val="20"/>
          <w:szCs w:val="20"/>
        </w:rPr>
        <w:t xml:space="preserve">Rava's inspectors are not construction professionals, surveyors, or licensed property engineers. Inspection reports are general compliance assessments only and do not constitute a structural survey, engineering report, or legal opinion. Rava shall not be liable for any defects, damages, or losses not identified in an inspection report.</w:t>
      </w:r>
    </w:p>
    <w:p>
      <w:pPr>
        <w:pStyle w:val="Heading2"/>
        <w:spacing w:after="120" w:before="300"/>
      </w:pPr>
      <w:r>
        <w:rPr>
          <w:rFonts w:ascii="Arial" w:cs="Arial" w:eastAsia="Arial" w:hAnsi="Arial"/>
          <w:b/>
          <w:bCs/>
          <w:color w:val="0B1F3A"/>
          <w:sz w:val="24"/>
          <w:szCs w:val="24"/>
        </w:rPr>
        <w:t xml:space="preserve">8.5 Inspector Conduct</w:t>
      </w:r>
    </w:p>
    <w:p>
      <w:pPr>
        <w:spacing w:after="80" w:before="80"/>
        <w:jc w:val="both"/>
      </w:pPr>
      <w:r>
        <w:rPr>
          <w:rFonts w:ascii="Arial" w:cs="Arial" w:eastAsia="Arial" w:hAnsi="Arial"/>
          <w:color w:val="555555"/>
          <w:sz w:val="20"/>
          <w:szCs w:val="20"/>
        </w:rPr>
        <w:t xml:space="preserve">All Rava inspectors are required to conduct inspections in a respectful, professional manner and to present valid identification before entering any property. Tenants have the right to request rescheduling of an inspection where less than 48 hours' notice has been provided.</w:t>
      </w:r>
    </w:p>
    <w:p>
      <w:pPr>
        <w:pStyle w:val="Heading1"/>
        <w:spacing w:after="160" w:before="400"/>
      </w:pPr>
      <w:r>
        <w:rPr>
          <w:rFonts w:ascii="Arial" w:cs="Arial" w:eastAsia="Arial" w:hAnsi="Arial"/>
          <w:b/>
          <w:bCs/>
          <w:color w:val="0B1F3A"/>
          <w:sz w:val="28"/>
          <w:szCs w:val="28"/>
        </w:rPr>
        <w:t xml:space="preserve">9. Prohibited Conduct</w:t>
      </w:r>
    </w:p>
    <w:p>
      <w:pPr>
        <w:spacing w:after="80" w:before="80"/>
        <w:jc w:val="both"/>
      </w:pPr>
      <w:r>
        <w:rPr>
          <w:rFonts w:ascii="Arial" w:cs="Arial" w:eastAsia="Arial" w:hAnsi="Arial"/>
          <w:color w:val="555555"/>
          <w:sz w:val="20"/>
          <w:szCs w:val="20"/>
        </w:rPr>
        <w:t xml:space="preserve">The following conduct is strictly prohibited on the Platform and may result in immediate account suspension, permanent ban, and/or legal action:</w:t>
      </w:r>
    </w:p>
    <w:p>
      <w:pPr>
        <w:pStyle w:val="ListParagraph"/>
        <w:numPr>
          <w:ilvl w:val="0"/>
          <w:numId w:val="2"/>
        </w:numPr>
        <w:spacing w:after="60" w:before="60"/>
      </w:pPr>
      <w:r>
        <w:rPr>
          <w:rFonts w:ascii="Arial" w:cs="Arial" w:eastAsia="Arial" w:hAnsi="Arial"/>
          <w:color w:val="555555"/>
          <w:sz w:val="20"/>
          <w:szCs w:val="20"/>
        </w:rPr>
        <w:t xml:space="preserve">Posting false, misleading, or fraudulent Listings or profile information;</w:t>
      </w:r>
    </w:p>
    <w:p>
      <w:pPr>
        <w:pStyle w:val="ListParagraph"/>
        <w:numPr>
          <w:ilvl w:val="0"/>
          <w:numId w:val="2"/>
        </w:numPr>
        <w:spacing w:after="60" w:before="60"/>
      </w:pPr>
      <w:r>
        <w:rPr>
          <w:rFonts w:ascii="Arial" w:cs="Arial" w:eastAsia="Arial" w:hAnsi="Arial"/>
          <w:color w:val="555555"/>
          <w:sz w:val="20"/>
          <w:szCs w:val="20"/>
        </w:rPr>
        <w:t xml:space="preserve">Circumventing the Platform to conduct rental transactions off-platform after initial contact through Rava;</w:t>
      </w:r>
    </w:p>
    <w:p>
      <w:pPr>
        <w:pStyle w:val="ListParagraph"/>
        <w:numPr>
          <w:ilvl w:val="0"/>
          <w:numId w:val="2"/>
        </w:numPr>
        <w:spacing w:after="60" w:before="60"/>
      </w:pPr>
      <w:r>
        <w:rPr>
          <w:rFonts w:ascii="Arial" w:cs="Arial" w:eastAsia="Arial" w:hAnsi="Arial"/>
          <w:color w:val="555555"/>
          <w:sz w:val="20"/>
          <w:szCs w:val="20"/>
        </w:rPr>
        <w:t xml:space="preserve">Harassing, threatening, or abusing other Users through the Platform's messaging system;</w:t>
      </w:r>
    </w:p>
    <w:p>
      <w:pPr>
        <w:pStyle w:val="ListParagraph"/>
        <w:numPr>
          <w:ilvl w:val="0"/>
          <w:numId w:val="2"/>
        </w:numPr>
        <w:spacing w:after="60" w:before="60"/>
      </w:pPr>
      <w:r>
        <w:rPr>
          <w:rFonts w:ascii="Arial" w:cs="Arial" w:eastAsia="Arial" w:hAnsi="Arial"/>
          <w:color w:val="555555"/>
          <w:sz w:val="20"/>
          <w:szCs w:val="20"/>
        </w:rPr>
        <w:t xml:space="preserve">Attempting to bribe, coerce, or otherwise improperly influence Rava inspection reports or Rava Score outcomes;</w:t>
      </w:r>
    </w:p>
    <w:p>
      <w:pPr>
        <w:pStyle w:val="ListParagraph"/>
        <w:numPr>
          <w:ilvl w:val="0"/>
          <w:numId w:val="2"/>
        </w:numPr>
        <w:spacing w:after="60" w:before="60"/>
      </w:pPr>
      <w:r>
        <w:rPr>
          <w:rFonts w:ascii="Arial" w:cs="Arial" w:eastAsia="Arial" w:hAnsi="Arial"/>
          <w:color w:val="555555"/>
          <w:sz w:val="20"/>
          <w:szCs w:val="20"/>
        </w:rPr>
        <w:t xml:space="preserve">Scraping, copying, or reproducing Platform data, listings, or Rava Score data without written authorisation;</w:t>
      </w:r>
    </w:p>
    <w:p>
      <w:pPr>
        <w:pStyle w:val="ListParagraph"/>
        <w:numPr>
          <w:ilvl w:val="0"/>
          <w:numId w:val="2"/>
        </w:numPr>
        <w:spacing w:after="60" w:before="60"/>
      </w:pPr>
      <w:r>
        <w:rPr>
          <w:rFonts w:ascii="Arial" w:cs="Arial" w:eastAsia="Arial" w:hAnsi="Arial"/>
          <w:color w:val="555555"/>
          <w:sz w:val="20"/>
          <w:szCs w:val="20"/>
        </w:rPr>
        <w:t xml:space="preserve">Using the Platform for any unlawful purpose, including money laundering, fraud, or identity theft;</w:t>
      </w:r>
    </w:p>
    <w:p>
      <w:pPr>
        <w:pStyle w:val="ListParagraph"/>
        <w:numPr>
          <w:ilvl w:val="0"/>
          <w:numId w:val="2"/>
        </w:numPr>
        <w:spacing w:after="60" w:before="60"/>
      </w:pPr>
      <w:r>
        <w:rPr>
          <w:rFonts w:ascii="Arial" w:cs="Arial" w:eastAsia="Arial" w:hAnsi="Arial"/>
          <w:color w:val="555555"/>
          <w:sz w:val="20"/>
          <w:szCs w:val="20"/>
        </w:rPr>
        <w:t xml:space="preserve">Interfering with or attempting to compromise the security or integrity of the Platform;</w:t>
      </w:r>
    </w:p>
    <w:p>
      <w:pPr>
        <w:pStyle w:val="ListParagraph"/>
        <w:numPr>
          <w:ilvl w:val="0"/>
          <w:numId w:val="2"/>
        </w:numPr>
        <w:spacing w:after="60" w:before="60"/>
      </w:pPr>
      <w:r>
        <w:rPr>
          <w:rFonts w:ascii="Arial" w:cs="Arial" w:eastAsia="Arial" w:hAnsi="Arial"/>
          <w:color w:val="555555"/>
          <w:sz w:val="20"/>
          <w:szCs w:val="20"/>
        </w:rPr>
        <w:t xml:space="preserve">Impersonating any other person or entity on the Platform.</w:t>
      </w:r>
    </w:p>
    <w:p>
      <w:pPr>
        <w:pStyle w:val="Heading1"/>
        <w:spacing w:after="160" w:before="400"/>
      </w:pPr>
      <w:r>
        <w:rPr>
          <w:rFonts w:ascii="Arial" w:cs="Arial" w:eastAsia="Arial" w:hAnsi="Arial"/>
          <w:b/>
          <w:bCs/>
          <w:color w:val="0B1F3A"/>
          <w:sz w:val="28"/>
          <w:szCs w:val="28"/>
        </w:rPr>
        <w:t xml:space="preserve">10. Intellectual Property</w:t>
      </w:r>
    </w:p>
    <w:p>
      <w:pPr>
        <w:pStyle w:val="Heading2"/>
        <w:spacing w:after="120" w:before="300"/>
      </w:pPr>
      <w:r>
        <w:rPr>
          <w:rFonts w:ascii="Arial" w:cs="Arial" w:eastAsia="Arial" w:hAnsi="Arial"/>
          <w:b/>
          <w:bCs/>
          <w:color w:val="0B1F3A"/>
          <w:sz w:val="24"/>
          <w:szCs w:val="24"/>
        </w:rPr>
        <w:t xml:space="preserve">10.1 Rava's IP</w:t>
      </w:r>
    </w:p>
    <w:p>
      <w:pPr>
        <w:spacing w:after="80" w:before="80"/>
        <w:jc w:val="both"/>
      </w:pPr>
      <w:r>
        <w:rPr>
          <w:rFonts w:ascii="Arial" w:cs="Arial" w:eastAsia="Arial" w:hAnsi="Arial"/>
          <w:color w:val="555555"/>
          <w:sz w:val="20"/>
          <w:szCs w:val="20"/>
        </w:rPr>
        <w:t xml:space="preserve">The Platform, including its design, software, algorithms, branding, Rava Score methodology, and all associated intellectual property, is owned exclusively by Rava Technology Limited. Nothing in these Terms grants any User a licence to use Rava's intellectual property except as necessary to access the Platform for its intended purpose.</w:t>
      </w:r>
    </w:p>
    <w:p>
      <w:pPr>
        <w:pStyle w:val="Heading2"/>
        <w:spacing w:after="120" w:before="300"/>
      </w:pPr>
      <w:r>
        <w:rPr>
          <w:rFonts w:ascii="Arial" w:cs="Arial" w:eastAsia="Arial" w:hAnsi="Arial"/>
          <w:b/>
          <w:bCs/>
          <w:color w:val="0B1F3A"/>
          <w:sz w:val="24"/>
          <w:szCs w:val="24"/>
        </w:rPr>
        <w:t xml:space="preserve">10.2 User Content</w:t>
      </w:r>
    </w:p>
    <w:p>
      <w:pPr>
        <w:spacing w:after="80" w:before="80"/>
        <w:jc w:val="both"/>
      </w:pPr>
      <w:r>
        <w:rPr>
          <w:rFonts w:ascii="Arial" w:cs="Arial" w:eastAsia="Arial" w:hAnsi="Arial"/>
          <w:color w:val="555555"/>
          <w:sz w:val="20"/>
          <w:szCs w:val="20"/>
        </w:rPr>
        <w:t xml:space="preserve">By submitting Content (including property photos, descriptions, and reviews) to the Platform, you grant Rava a non-exclusive, royalty-free, worldwide licence to use, display, reproduce, and distribute such Content for the purposes of operating and promoting the Platform. You retain ownership of your Content but warrant that it does not infringe any third-party intellectual property rights.</w:t>
      </w:r>
    </w:p>
    <w:p>
      <w:pPr>
        <w:pStyle w:val="Heading2"/>
        <w:spacing w:after="120" w:before="300"/>
      </w:pPr>
      <w:r>
        <w:rPr>
          <w:rFonts w:ascii="Arial" w:cs="Arial" w:eastAsia="Arial" w:hAnsi="Arial"/>
          <w:b/>
          <w:bCs/>
          <w:color w:val="0B1F3A"/>
          <w:sz w:val="24"/>
          <w:szCs w:val="24"/>
        </w:rPr>
        <w:t xml:space="preserve">10.3 Feedback</w:t>
      </w:r>
    </w:p>
    <w:p>
      <w:pPr>
        <w:spacing w:after="80" w:before="80"/>
        <w:jc w:val="both"/>
      </w:pPr>
      <w:r>
        <w:rPr>
          <w:rFonts w:ascii="Arial" w:cs="Arial" w:eastAsia="Arial" w:hAnsi="Arial"/>
          <w:color w:val="555555"/>
          <w:sz w:val="20"/>
          <w:szCs w:val="20"/>
        </w:rPr>
        <w:t xml:space="preserve">Any feedback, suggestions, or ideas submitted by Users regarding the Platform may be used by Rava without obligation, compensation, or attribution to the submitting User.</w:t>
      </w:r>
    </w:p>
    <w:p>
      <w:pPr>
        <w:pStyle w:val="Heading1"/>
        <w:spacing w:after="160" w:before="400"/>
      </w:pPr>
      <w:r>
        <w:rPr>
          <w:rFonts w:ascii="Arial" w:cs="Arial" w:eastAsia="Arial" w:hAnsi="Arial"/>
          <w:b/>
          <w:bCs/>
          <w:color w:val="0B1F3A"/>
          <w:sz w:val="28"/>
          <w:szCs w:val="28"/>
        </w:rPr>
        <w:t xml:space="preserve">11. Limitation of Liability</w:t>
      </w:r>
    </w:p>
    <w:p>
      <w:pPr>
        <w:pStyle w:val="Heading2"/>
        <w:spacing w:after="120" w:before="300"/>
      </w:pPr>
      <w:r>
        <w:rPr>
          <w:rFonts w:ascii="Arial" w:cs="Arial" w:eastAsia="Arial" w:hAnsi="Arial"/>
          <w:b/>
          <w:bCs/>
          <w:color w:val="0B1F3A"/>
          <w:sz w:val="24"/>
          <w:szCs w:val="24"/>
        </w:rPr>
        <w:t xml:space="preserve">11.1 No Warranty</w:t>
      </w:r>
    </w:p>
    <w:p>
      <w:pPr>
        <w:spacing w:after="80" w:before="80"/>
        <w:jc w:val="both"/>
      </w:pPr>
      <w:r>
        <w:rPr>
          <w:rFonts w:ascii="Arial" w:cs="Arial" w:eastAsia="Arial" w:hAnsi="Arial"/>
          <w:color w:val="555555"/>
          <w:sz w:val="20"/>
          <w:szCs w:val="20"/>
        </w:rPr>
        <w:t xml:space="preserve">The Platform is provided on an "as is" and "as available" basis. Rava makes no warranties, express or implied, regarding the accuracy, completeness, reliability, or fitness for purpose of any information on the Platform, including Listings, Rava Score assessments, and inspection reports.</w:t>
      </w:r>
    </w:p>
    <w:p>
      <w:pPr>
        <w:pStyle w:val="Heading2"/>
        <w:spacing w:after="120" w:before="300"/>
      </w:pPr>
      <w:r>
        <w:rPr>
          <w:rFonts w:ascii="Arial" w:cs="Arial" w:eastAsia="Arial" w:hAnsi="Arial"/>
          <w:b/>
          <w:bCs/>
          <w:color w:val="0B1F3A"/>
          <w:sz w:val="24"/>
          <w:szCs w:val="24"/>
        </w:rPr>
        <w:t xml:space="preserve">11.2 Cap on Liability</w:t>
      </w:r>
    </w:p>
    <w:p>
      <w:pPr>
        <w:spacing w:after="80" w:before="80"/>
        <w:jc w:val="both"/>
      </w:pPr>
      <w:r>
        <w:rPr>
          <w:rFonts w:ascii="Arial" w:cs="Arial" w:eastAsia="Arial" w:hAnsi="Arial"/>
          <w:color w:val="555555"/>
          <w:sz w:val="20"/>
          <w:szCs w:val="20"/>
        </w:rPr>
        <w:t xml:space="preserve">To the fullest extent permitted by Nigerian law, Rava's total aggregate liability to any User for any claims arising out of or in connection with these Terms or the Platform shall not exceed the total subscription fees paid by that User to Rava in the three (3) months preceding the event giving rise to the claim.</w:t>
      </w:r>
    </w:p>
    <w:p>
      <w:pPr>
        <w:pStyle w:val="Heading2"/>
        <w:spacing w:after="120" w:before="300"/>
      </w:pPr>
      <w:r>
        <w:rPr>
          <w:rFonts w:ascii="Arial" w:cs="Arial" w:eastAsia="Arial" w:hAnsi="Arial"/>
          <w:b/>
          <w:bCs/>
          <w:color w:val="0B1F3A"/>
          <w:sz w:val="24"/>
          <w:szCs w:val="24"/>
        </w:rPr>
        <w:t xml:space="preserve">11.3 Excluded Losses</w:t>
      </w:r>
    </w:p>
    <w:p>
      <w:pPr>
        <w:spacing w:after="80" w:before="80"/>
        <w:jc w:val="both"/>
      </w:pPr>
      <w:r>
        <w:rPr>
          <w:rFonts w:ascii="Arial" w:cs="Arial" w:eastAsia="Arial" w:hAnsi="Arial"/>
          <w:color w:val="555555"/>
          <w:sz w:val="20"/>
          <w:szCs w:val="20"/>
        </w:rPr>
        <w:t xml:space="preserve">Rava shall not be liable for any indirect, incidental, consequential, special, or punitive damages, including loss of profit, loss of rental income, loss of data, or reputational damage, whether arising in contract, tort, or otherwise, even if Rava has been advised of the possibility of such damages.</w:t>
      </w:r>
    </w:p>
    <w:p>
      <w:pPr>
        <w:pStyle w:val="Heading2"/>
        <w:spacing w:after="120" w:before="300"/>
      </w:pPr>
      <w:r>
        <w:rPr>
          <w:rFonts w:ascii="Arial" w:cs="Arial" w:eastAsia="Arial" w:hAnsi="Arial"/>
          <w:b/>
          <w:bCs/>
          <w:color w:val="0B1F3A"/>
          <w:sz w:val="24"/>
          <w:szCs w:val="24"/>
        </w:rPr>
        <w:t xml:space="preserve">11.4 Third-Party Services</w:t>
      </w:r>
    </w:p>
    <w:p>
      <w:pPr>
        <w:spacing w:after="80" w:before="80"/>
        <w:jc w:val="both"/>
      </w:pPr>
      <w:r>
        <w:rPr>
          <w:rFonts w:ascii="Arial" w:cs="Arial" w:eastAsia="Arial" w:hAnsi="Arial"/>
          <w:color w:val="555555"/>
          <w:sz w:val="20"/>
          <w:szCs w:val="20"/>
        </w:rPr>
        <w:t xml:space="preserve">The Platform integrates with third-party services including open banking API providers, payment processors, and identity verification services. Rava is not responsible for the availability, accuracy, or conduct of such third-party services and shall not be liable for any loss arising from their failure or malfunction.</w:t>
      </w:r>
    </w:p>
    <w:p>
      <w:pPr>
        <w:pStyle w:val="Heading2"/>
        <w:spacing w:after="120" w:before="300"/>
      </w:pPr>
      <w:r>
        <w:rPr>
          <w:rFonts w:ascii="Arial" w:cs="Arial" w:eastAsia="Arial" w:hAnsi="Arial"/>
          <w:b/>
          <w:bCs/>
          <w:color w:val="0B1F3A"/>
          <w:sz w:val="24"/>
          <w:szCs w:val="24"/>
        </w:rPr>
        <w:t xml:space="preserve">11.5 Force Majeure</w:t>
      </w:r>
    </w:p>
    <w:p>
      <w:pPr>
        <w:spacing w:after="80" w:before="80"/>
        <w:jc w:val="both"/>
      </w:pPr>
      <w:r>
        <w:rPr>
          <w:rFonts w:ascii="Arial" w:cs="Arial" w:eastAsia="Arial" w:hAnsi="Arial"/>
          <w:color w:val="555555"/>
          <w:sz w:val="20"/>
          <w:szCs w:val="20"/>
        </w:rPr>
        <w:t xml:space="preserve">Rava shall not be liable for any failure or delay in performing its obligations under these Terms where such failure or delay is caused by circumstances beyond its reasonable control, including but not limited to acts of God, government action, power failures, internet disruptions, or civil unrest.</w:t>
      </w:r>
    </w:p>
    <w:p>
      <w:pPr>
        <w:pStyle w:val="Heading1"/>
        <w:spacing w:after="160" w:before="400"/>
      </w:pPr>
      <w:r>
        <w:rPr>
          <w:rFonts w:ascii="Arial" w:cs="Arial" w:eastAsia="Arial" w:hAnsi="Arial"/>
          <w:b/>
          <w:bCs/>
          <w:color w:val="0B1F3A"/>
          <w:sz w:val="28"/>
          <w:szCs w:val="28"/>
        </w:rPr>
        <w:t xml:space="preserve">12. Indemnity</w:t>
      </w:r>
    </w:p>
    <w:p>
      <w:pPr>
        <w:spacing w:after="80" w:before="80"/>
        <w:jc w:val="both"/>
      </w:pPr>
      <w:r>
        <w:rPr>
          <w:rFonts w:ascii="Arial" w:cs="Arial" w:eastAsia="Arial" w:hAnsi="Arial"/>
          <w:color w:val="555555"/>
          <w:sz w:val="20"/>
          <w:szCs w:val="20"/>
        </w:rPr>
        <w:t xml:space="preserve">You agree to indemnify, defend, and hold harmless Rava Technology Limited, its directors, officers, employees, agents, and partners from and against any claims, liabilities, damages, losses, costs, and expenses (including reasonable legal fees) arising out of or relating to: (a) your use of the Platform; (b) your violation of these Terms; (c) your violation of any applicable law or regulation; (d) any Content you submit to the Platform; or (e) any dispute between you and another User.</w:t>
      </w:r>
    </w:p>
    <w:p>
      <w:pPr>
        <w:pStyle w:val="Heading1"/>
        <w:spacing w:after="160" w:before="400"/>
      </w:pPr>
      <w:r>
        <w:rPr>
          <w:rFonts w:ascii="Arial" w:cs="Arial" w:eastAsia="Arial" w:hAnsi="Arial"/>
          <w:b/>
          <w:bCs/>
          <w:color w:val="0B1F3A"/>
          <w:sz w:val="28"/>
          <w:szCs w:val="28"/>
        </w:rPr>
        <w:t xml:space="preserve">13. Termination</w:t>
      </w:r>
    </w:p>
    <w:p>
      <w:pPr>
        <w:pStyle w:val="Heading2"/>
        <w:spacing w:after="120" w:before="300"/>
      </w:pPr>
      <w:r>
        <w:rPr>
          <w:rFonts w:ascii="Arial" w:cs="Arial" w:eastAsia="Arial" w:hAnsi="Arial"/>
          <w:b/>
          <w:bCs/>
          <w:color w:val="0B1F3A"/>
          <w:sz w:val="24"/>
          <w:szCs w:val="24"/>
        </w:rPr>
        <w:t xml:space="preserve">13.1 By Rava</w:t>
      </w:r>
    </w:p>
    <w:p>
      <w:pPr>
        <w:spacing w:after="80" w:before="80"/>
        <w:jc w:val="both"/>
      </w:pPr>
      <w:r>
        <w:rPr>
          <w:rFonts w:ascii="Arial" w:cs="Arial" w:eastAsia="Arial" w:hAnsi="Arial"/>
          <w:color w:val="555555"/>
          <w:sz w:val="20"/>
          <w:szCs w:val="20"/>
        </w:rPr>
        <w:t xml:space="preserve">Rava reserves the right to suspend, restrict, or permanently terminate any User account at its sole discretion, with or without notice, where it reasonably believes a User has violated these Terms, engaged in fraudulent conduct, or poses a risk to other Users or the Platform.</w:t>
      </w:r>
    </w:p>
    <w:p>
      <w:pPr>
        <w:pStyle w:val="Heading2"/>
        <w:spacing w:after="120" w:before="300"/>
      </w:pPr>
      <w:r>
        <w:rPr>
          <w:rFonts w:ascii="Arial" w:cs="Arial" w:eastAsia="Arial" w:hAnsi="Arial"/>
          <w:b/>
          <w:bCs/>
          <w:color w:val="0B1F3A"/>
          <w:sz w:val="24"/>
          <w:szCs w:val="24"/>
        </w:rPr>
        <w:t xml:space="preserve">13.2 By User</w:t>
      </w:r>
    </w:p>
    <w:p>
      <w:pPr>
        <w:spacing w:after="80" w:before="80"/>
        <w:jc w:val="both"/>
      </w:pPr>
      <w:r>
        <w:rPr>
          <w:rFonts w:ascii="Arial" w:cs="Arial" w:eastAsia="Arial" w:hAnsi="Arial"/>
          <w:color w:val="555555"/>
          <w:sz w:val="20"/>
          <w:szCs w:val="20"/>
        </w:rPr>
        <w:t xml:space="preserve">Users may close their account at any time by submitting a written request to legal@rava.io. Account closure does not entitle the User to a refund of any paid subscription fees.</w:t>
      </w:r>
    </w:p>
    <w:p>
      <w:pPr>
        <w:pStyle w:val="Heading2"/>
        <w:spacing w:after="120" w:before="300"/>
      </w:pPr>
      <w:r>
        <w:rPr>
          <w:rFonts w:ascii="Arial" w:cs="Arial" w:eastAsia="Arial" w:hAnsi="Arial"/>
          <w:b/>
          <w:bCs/>
          <w:color w:val="0B1F3A"/>
          <w:sz w:val="24"/>
          <w:szCs w:val="24"/>
        </w:rPr>
        <w:t xml:space="preserve">13.3 Effect of Termination</w:t>
      </w:r>
    </w:p>
    <w:p>
      <w:pPr>
        <w:spacing w:after="80" w:before="80"/>
        <w:jc w:val="both"/>
      </w:pPr>
      <w:r>
        <w:rPr>
          <w:rFonts w:ascii="Arial" w:cs="Arial" w:eastAsia="Arial" w:hAnsi="Arial"/>
          <w:color w:val="555555"/>
          <w:sz w:val="20"/>
          <w:szCs w:val="20"/>
        </w:rPr>
        <w:t xml:space="preserve">Upon termination, your right to access and use the Platform ceases immediately. Rava may retain certain data as required by applicable law or for legitimate business purposes as set out in the Privacy Policy. Provisions of these Terms that by their nature should survive termination shall continue to apply.</w:t>
      </w:r>
    </w:p>
    <w:p>
      <w:pPr>
        <w:pStyle w:val="Heading1"/>
        <w:spacing w:after="160" w:before="400"/>
      </w:pPr>
      <w:r>
        <w:rPr>
          <w:rFonts w:ascii="Arial" w:cs="Arial" w:eastAsia="Arial" w:hAnsi="Arial"/>
          <w:b/>
          <w:bCs/>
          <w:color w:val="0B1F3A"/>
          <w:sz w:val="28"/>
          <w:szCs w:val="28"/>
        </w:rPr>
        <w:t xml:space="preserve">14. Dispute Resolution</w:t>
      </w:r>
    </w:p>
    <w:p>
      <w:pPr>
        <w:pStyle w:val="Heading2"/>
        <w:spacing w:after="120" w:before="300"/>
      </w:pPr>
      <w:r>
        <w:rPr>
          <w:rFonts w:ascii="Arial" w:cs="Arial" w:eastAsia="Arial" w:hAnsi="Arial"/>
          <w:b/>
          <w:bCs/>
          <w:color w:val="0B1F3A"/>
          <w:sz w:val="24"/>
          <w:szCs w:val="24"/>
        </w:rPr>
        <w:t xml:space="preserve">14.1 Governing Law</w:t>
      </w:r>
    </w:p>
    <w:p>
      <w:pPr>
        <w:spacing w:after="80" w:before="80"/>
        <w:jc w:val="both"/>
      </w:pPr>
      <w:r>
        <w:rPr>
          <w:rFonts w:ascii="Arial" w:cs="Arial" w:eastAsia="Arial" w:hAnsi="Arial"/>
          <w:color w:val="555555"/>
          <w:sz w:val="20"/>
          <w:szCs w:val="20"/>
        </w:rPr>
        <w:t xml:space="preserve">These Terms shall be governed by and construed in accordance with the laws of the Federal Republic of Nigeria.</w:t>
      </w:r>
    </w:p>
    <w:p>
      <w:pPr>
        <w:pStyle w:val="Heading2"/>
        <w:spacing w:after="120" w:before="300"/>
      </w:pPr>
      <w:r>
        <w:rPr>
          <w:rFonts w:ascii="Arial" w:cs="Arial" w:eastAsia="Arial" w:hAnsi="Arial"/>
          <w:b/>
          <w:bCs/>
          <w:color w:val="0B1F3A"/>
          <w:sz w:val="24"/>
          <w:szCs w:val="24"/>
        </w:rPr>
        <w:t xml:space="preserve">14.2 Mandatory Mediation</w:t>
      </w:r>
    </w:p>
    <w:p>
      <w:pPr>
        <w:spacing w:after="80" w:before="80"/>
        <w:jc w:val="both"/>
      </w:pPr>
      <w:r>
        <w:rPr>
          <w:rFonts w:ascii="Arial" w:cs="Arial" w:eastAsia="Arial" w:hAnsi="Arial"/>
          <w:color w:val="555555"/>
          <w:sz w:val="20"/>
          <w:szCs w:val="20"/>
        </w:rPr>
        <w:t xml:space="preserve">Before initiating any formal legal proceedings, both parties agree to attempt to resolve any dispute through good faith negotiation for a period of 30 days following written notice of the dispute. If unresolved, the parties agree to submit the dispute to mediation administered by the Lagos Multi-Door Courthouse (LMDC) or such other mediator as the parties may agree in writing.</w:t>
      </w:r>
    </w:p>
    <w:p>
      <w:pPr>
        <w:pStyle w:val="Heading2"/>
        <w:spacing w:after="120" w:before="300"/>
      </w:pPr>
      <w:r>
        <w:rPr>
          <w:rFonts w:ascii="Arial" w:cs="Arial" w:eastAsia="Arial" w:hAnsi="Arial"/>
          <w:b/>
          <w:bCs/>
          <w:color w:val="0B1F3A"/>
          <w:sz w:val="24"/>
          <w:szCs w:val="24"/>
        </w:rPr>
        <w:t xml:space="preserve">14.3 Arbitration</w:t>
      </w:r>
    </w:p>
    <w:p>
      <w:pPr>
        <w:spacing w:after="80" w:before="80"/>
        <w:jc w:val="both"/>
      </w:pPr>
      <w:r>
        <w:rPr>
          <w:rFonts w:ascii="Arial" w:cs="Arial" w:eastAsia="Arial" w:hAnsi="Arial"/>
          <w:color w:val="555555"/>
          <w:sz w:val="20"/>
          <w:szCs w:val="20"/>
        </w:rPr>
        <w:t xml:space="preserve">If mediation fails to resolve the dispute within 60 days of commencement, the dispute shall be finally resolved by binding arbitration conducted under the Arbitration and Conciliation Act (Cap A18, Laws of the Federation of Nigeria 2004), as amended. The seat of arbitration shall be Lagos, Nigeria. The language of arbitration shall be English.</w:t>
      </w:r>
    </w:p>
    <w:p>
      <w:pPr>
        <w:pStyle w:val="Heading2"/>
        <w:spacing w:after="120" w:before="300"/>
      </w:pPr>
      <w:r>
        <w:rPr>
          <w:rFonts w:ascii="Arial" w:cs="Arial" w:eastAsia="Arial" w:hAnsi="Arial"/>
          <w:b/>
          <w:bCs/>
          <w:color w:val="0B1F3A"/>
          <w:sz w:val="24"/>
          <w:szCs w:val="24"/>
        </w:rPr>
        <w:t xml:space="preserve">14.4 Jurisdiction</w:t>
      </w:r>
    </w:p>
    <w:p>
      <w:pPr>
        <w:spacing w:after="80" w:before="80"/>
        <w:jc w:val="both"/>
      </w:pPr>
      <w:r>
        <w:rPr>
          <w:rFonts w:ascii="Arial" w:cs="Arial" w:eastAsia="Arial" w:hAnsi="Arial"/>
          <w:color w:val="555555"/>
          <w:sz w:val="20"/>
          <w:szCs w:val="20"/>
        </w:rPr>
        <w:t xml:space="preserve">Subject to the arbitration clause above, each party irrevocably submits to the exclusive jurisdiction of the courts of Lagos State, Nigeria for any interim or injunctive relief.</w:t>
      </w:r>
    </w:p>
    <w:p>
      <w:pPr>
        <w:pStyle w:val="Heading1"/>
        <w:spacing w:after="160" w:before="400"/>
      </w:pPr>
      <w:r>
        <w:rPr>
          <w:rFonts w:ascii="Arial" w:cs="Arial" w:eastAsia="Arial" w:hAnsi="Arial"/>
          <w:b/>
          <w:bCs/>
          <w:color w:val="0B1F3A"/>
          <w:sz w:val="28"/>
          <w:szCs w:val="28"/>
        </w:rPr>
        <w:t xml:space="preserve">15. Amendments to These Terms</w:t>
      </w:r>
    </w:p>
    <w:p>
      <w:pPr>
        <w:spacing w:after="80" w:before="80"/>
        <w:jc w:val="both"/>
      </w:pPr>
      <w:r>
        <w:rPr>
          <w:rFonts w:ascii="Arial" w:cs="Arial" w:eastAsia="Arial" w:hAnsi="Arial"/>
          <w:color w:val="555555"/>
          <w:sz w:val="20"/>
          <w:szCs w:val="20"/>
        </w:rPr>
        <w:t xml:space="preserve">Rava reserves the right to amend these Terms at any time. Updated Terms will be published on the Platform with a revised effective date. For material changes, Rava will provide registered Users with at least 14 days' advance notice via email or in-app notification. Your continued use of the Platform after the effective date of amended Terms constitutes your acceptance of the changes.</w:t>
      </w:r>
    </w:p>
    <w:p>
      <w:pPr>
        <w:pStyle w:val="Heading1"/>
        <w:spacing w:after="160" w:before="400"/>
      </w:pPr>
      <w:r>
        <w:rPr>
          <w:rFonts w:ascii="Arial" w:cs="Arial" w:eastAsia="Arial" w:hAnsi="Arial"/>
          <w:b/>
          <w:bCs/>
          <w:color w:val="0B1F3A"/>
          <w:sz w:val="28"/>
          <w:szCs w:val="28"/>
        </w:rPr>
        <w:t xml:space="preserve">16. Miscellaneous</w:t>
      </w:r>
    </w:p>
    <w:p>
      <w:pPr>
        <w:pStyle w:val="Heading2"/>
        <w:spacing w:after="120" w:before="300"/>
      </w:pPr>
      <w:r>
        <w:rPr>
          <w:rFonts w:ascii="Arial" w:cs="Arial" w:eastAsia="Arial" w:hAnsi="Arial"/>
          <w:b/>
          <w:bCs/>
          <w:color w:val="0B1F3A"/>
          <w:sz w:val="24"/>
          <w:szCs w:val="24"/>
        </w:rPr>
        <w:t xml:space="preserve">16.1 Severability</w:t>
      </w:r>
    </w:p>
    <w:p>
      <w:pPr>
        <w:spacing w:after="80" w:before="80"/>
        <w:jc w:val="both"/>
      </w:pPr>
      <w:r>
        <w:rPr>
          <w:rFonts w:ascii="Arial" w:cs="Arial" w:eastAsia="Arial" w:hAnsi="Arial"/>
          <w:color w:val="555555"/>
          <w:sz w:val="20"/>
          <w:szCs w:val="20"/>
        </w:rPr>
        <w:t xml:space="preserve">If any provision of these Terms is held to be invalid, unlawful, or unenforceable by a court of competent jurisdiction, that provision shall be deemed modified to the minimum extent necessary to make it enforceable, and the remaining provisions shall continue in full force and effect.</w:t>
      </w:r>
    </w:p>
    <w:p>
      <w:pPr>
        <w:pStyle w:val="Heading2"/>
        <w:spacing w:after="120" w:before="300"/>
      </w:pPr>
      <w:r>
        <w:rPr>
          <w:rFonts w:ascii="Arial" w:cs="Arial" w:eastAsia="Arial" w:hAnsi="Arial"/>
          <w:b/>
          <w:bCs/>
          <w:color w:val="0B1F3A"/>
          <w:sz w:val="24"/>
          <w:szCs w:val="24"/>
        </w:rPr>
        <w:t xml:space="preserve">16.2 Entire Agreement</w:t>
      </w:r>
    </w:p>
    <w:p>
      <w:pPr>
        <w:spacing w:after="80" w:before="80"/>
        <w:jc w:val="both"/>
      </w:pPr>
      <w:r>
        <w:rPr>
          <w:rFonts w:ascii="Arial" w:cs="Arial" w:eastAsia="Arial" w:hAnsi="Arial"/>
          <w:color w:val="555555"/>
          <w:sz w:val="20"/>
          <w:szCs w:val="20"/>
        </w:rPr>
        <w:t xml:space="preserve">These Terms, together with the Privacy Policy and any applicable Subscription Agreement, constitute the entire agreement between you and Rava with respect to the Platform and supersede all prior agreements, understandings, and representations.</w:t>
      </w:r>
    </w:p>
    <w:p>
      <w:pPr>
        <w:pStyle w:val="Heading2"/>
        <w:spacing w:after="120" w:before="300"/>
      </w:pPr>
      <w:r>
        <w:rPr>
          <w:rFonts w:ascii="Arial" w:cs="Arial" w:eastAsia="Arial" w:hAnsi="Arial"/>
          <w:b/>
          <w:bCs/>
          <w:color w:val="0B1F3A"/>
          <w:sz w:val="24"/>
          <w:szCs w:val="24"/>
        </w:rPr>
        <w:t xml:space="preserve">16.3 No Waiver</w:t>
      </w:r>
    </w:p>
    <w:p>
      <w:pPr>
        <w:spacing w:after="80" w:before="80"/>
        <w:jc w:val="both"/>
      </w:pPr>
      <w:r>
        <w:rPr>
          <w:rFonts w:ascii="Arial" w:cs="Arial" w:eastAsia="Arial" w:hAnsi="Arial"/>
          <w:color w:val="555555"/>
          <w:sz w:val="20"/>
          <w:szCs w:val="20"/>
        </w:rPr>
        <w:t xml:space="preserve">Rava's failure to enforce any right or provision of these Terms shall not constitute a waiver of such right or provision in the future.</w:t>
      </w:r>
    </w:p>
    <w:p>
      <w:pPr>
        <w:pStyle w:val="Heading2"/>
        <w:spacing w:after="120" w:before="300"/>
      </w:pPr>
      <w:r>
        <w:rPr>
          <w:rFonts w:ascii="Arial" w:cs="Arial" w:eastAsia="Arial" w:hAnsi="Arial"/>
          <w:b/>
          <w:bCs/>
          <w:color w:val="0B1F3A"/>
          <w:sz w:val="24"/>
          <w:szCs w:val="24"/>
        </w:rPr>
        <w:t xml:space="preserve">16.4 Assignment</w:t>
      </w:r>
    </w:p>
    <w:p>
      <w:pPr>
        <w:spacing w:after="80" w:before="80"/>
        <w:jc w:val="both"/>
      </w:pPr>
      <w:r>
        <w:rPr>
          <w:rFonts w:ascii="Arial" w:cs="Arial" w:eastAsia="Arial" w:hAnsi="Arial"/>
          <w:color w:val="555555"/>
          <w:sz w:val="20"/>
          <w:szCs w:val="20"/>
        </w:rPr>
        <w:t xml:space="preserve">Rava may assign or transfer its rights and obligations under these Terms to any successor entity or in connection with a merger, acquisition, or sale of assets. You may not assign your rights or obligations under these Terms without Rava's prior written consent.</w:t>
      </w:r>
    </w:p>
    <w:p>
      <w:pPr>
        <w:pStyle w:val="Heading1"/>
        <w:spacing w:after="160" w:before="400"/>
      </w:pPr>
      <w:r>
        <w:rPr>
          <w:rFonts w:ascii="Arial" w:cs="Arial" w:eastAsia="Arial" w:hAnsi="Arial"/>
          <w:b/>
          <w:bCs/>
          <w:color w:val="0B1F3A"/>
          <w:sz w:val="28"/>
          <w:szCs w:val="28"/>
        </w:rPr>
        <w:t xml:space="preserve">17. Contact Information</w:t>
      </w:r>
    </w:p>
    <w:p>
      <w:pPr>
        <w:spacing w:after="80" w:before="80"/>
        <w:jc w:val="both"/>
      </w:pPr>
      <w:r>
        <w:rPr>
          <w:rFonts w:ascii="Arial" w:cs="Arial" w:eastAsia="Arial" w:hAnsi="Arial"/>
          <w:color w:val="555555"/>
          <w:sz w:val="20"/>
          <w:szCs w:val="20"/>
        </w:rPr>
        <w:t xml:space="preserve">For questions, complaints, or legal notices regarding these Terms, please contact:</w:t>
      </w:r>
    </w:p>
    <w:p>
      <w:pPr>
        <w:spacing w:after="0" w:before="0"/>
      </w:pPr>
      <w:r>
        <w:rPr>
          <w:rFonts w:ascii="Arial" w:cs="Arial" w:eastAsia="Arial" w:hAnsi="Arial"/>
          <w:sz w:val="20"/>
          <w:szCs w:val="20"/>
        </w:rPr>
        <w:t xml:space="preserve"/>
      </w:r>
    </w:p>
    <w:p>
      <w:pPr>
        <w:spacing w:after="80" w:before="80"/>
        <w:jc w:val="both"/>
      </w:pPr>
      <w:r>
        <w:rPr>
          <w:rFonts w:ascii="Arial" w:cs="Arial" w:eastAsia="Arial" w:hAnsi="Arial"/>
          <w:b/>
          <w:bCs/>
          <w:color w:val="555555"/>
          <w:sz w:val="20"/>
          <w:szCs w:val="20"/>
        </w:rPr>
        <w:t xml:space="preserve">Rava Technology Limited</w:t>
      </w:r>
    </w:p>
    <w:p>
      <w:pPr>
        <w:spacing w:after="80" w:before="80"/>
        <w:jc w:val="both"/>
      </w:pPr>
      <w:r>
        <w:rPr>
          <w:rFonts w:ascii="Arial" w:cs="Arial" w:eastAsia="Arial" w:hAnsi="Arial"/>
          <w:color w:val="555555"/>
          <w:sz w:val="20"/>
          <w:szCs w:val="20"/>
        </w:rPr>
        <w:t xml:space="preserve">Lagos, Nigeria</w:t>
      </w:r>
    </w:p>
    <w:p>
      <w:pPr>
        <w:spacing w:after="80" w:before="80"/>
        <w:jc w:val="both"/>
      </w:pPr>
      <w:r>
        <w:rPr>
          <w:rFonts w:ascii="Arial" w:cs="Arial" w:eastAsia="Arial" w:hAnsi="Arial"/>
          <w:color w:val="555555"/>
          <w:sz w:val="20"/>
          <w:szCs w:val="20"/>
        </w:rPr>
        <w:t xml:space="preserve">legal@rava.io</w:t>
      </w:r>
    </w:p>
    <w:p>
      <w:pPr>
        <w:spacing w:after="80" w:before="80"/>
        <w:jc w:val="both"/>
      </w:pPr>
      <w:r>
        <w:rPr>
          <w:rFonts w:ascii="Arial" w:cs="Arial" w:eastAsia="Arial" w:hAnsi="Arial"/>
          <w:color w:val="555555"/>
          <w:sz w:val="20"/>
          <w:szCs w:val="20"/>
        </w:rPr>
        <w:t xml:space="preserve">rava.io</w:t>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400"/>
        <w:jc w:val="center"/>
      </w:pPr>
      <w:r>
        <w:rPr>
          <w:rFonts w:ascii="Arial" w:cs="Arial" w:eastAsia="Arial" w:hAnsi="Arial"/>
          <w:color w:val="888888"/>
          <w:sz w:val="18"/>
          <w:szCs w:val="18"/>
        </w:rPr>
        <w:t xml:space="preserve">© 2026 Rava Technology Limited. All Rights Reserved.</w:t>
      </w:r>
    </w:p>
    <w:p>
      <w:pPr>
        <w:sectPr>
          <w:headerReference w:type="default" r:id="rId7"/>
          <w:footerReference w:type="default" r:id="rId8"/>
          <w:pgSz w:w="11906" w:h="16838" w:orient="portrait"/>
          <w:pgMar w:top="1440" w:right="1440" w:bottom="1440" w:left="1440" w:header="708" w:footer="708" w:gutter="0"/>
          <w:pgNumType/>
          <w:docGrid w:linePitch="360"/>
        </w:sectPr>
      </w:pP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120" w:before="0"/>
        <w:jc w:val="center"/>
      </w:pPr>
      <w:r>
        <w:rPr>
          <w:rFonts w:ascii="Arial" w:cs="Arial" w:eastAsia="Arial" w:hAnsi="Arial"/>
          <w:b/>
          <w:bCs/>
          <w:color w:val="0B1F3A"/>
          <w:sz w:val="56"/>
          <w:szCs w:val="56"/>
        </w:rPr>
        <w:t xml:space="preserve">Rava</w:t>
      </w:r>
    </w:p>
    <w:p>
      <w:pPr>
        <w:spacing w:after="80" w:before="0"/>
        <w:jc w:val="center"/>
      </w:pPr>
      <w:r>
        <w:rPr>
          <w:rFonts w:ascii="Arial" w:cs="Arial" w:eastAsia="Arial" w:hAnsi="Arial"/>
          <w:color w:val="888888"/>
          <w:sz w:val="24"/>
          <w:szCs w:val="24"/>
        </w:rPr>
        <w:t xml:space="preserve">Privacy Policy</w:t>
      </w:r>
    </w:p>
    <w:p>
      <w:pPr>
        <w:spacing w:after="0" w:before="0"/>
      </w:pPr>
      <w:r>
        <w:rPr>
          <w:rFonts w:ascii="Arial" w:cs="Arial" w:eastAsia="Arial" w:hAnsi="Arial"/>
          <w:sz w:val="20"/>
          <w:szCs w:val="20"/>
        </w:rPr>
        <w:t xml:space="preserve"/>
      </w:r>
    </w:p>
    <w:p>
      <w:pPr>
        <w:spacing w:after="60" w:before="60"/>
        <w:jc w:val="center"/>
      </w:pPr>
      <w:r>
        <w:rPr>
          <w:rFonts w:ascii="Arial" w:cs="Arial" w:eastAsia="Arial" w:hAnsi="Arial"/>
          <w:b/>
          <w:bCs/>
          <w:color w:val="0B1F3A"/>
          <w:sz w:val="20"/>
          <w:szCs w:val="20"/>
        </w:rPr>
        <w:t xml:space="preserve">Effective Date: </w:t>
      </w:r>
      <w:r>
        <w:rPr>
          <w:rFonts w:ascii="Arial" w:cs="Arial" w:eastAsia="Arial" w:hAnsi="Arial"/>
          <w:color w:val="555555"/>
          <w:sz w:val="20"/>
          <w:szCs w:val="20"/>
        </w:rPr>
        <w:t xml:space="preserve">April 8, 2026</w:t>
      </w:r>
    </w:p>
    <w:p>
      <w:pPr>
        <w:spacing w:after="60" w:before="60"/>
        <w:jc w:val="center"/>
      </w:pPr>
      <w:r>
        <w:rPr>
          <w:rFonts w:ascii="Arial" w:cs="Arial" w:eastAsia="Arial" w:hAnsi="Arial"/>
          <w:b/>
          <w:bCs/>
          <w:color w:val="0B1F3A"/>
          <w:sz w:val="20"/>
          <w:szCs w:val="20"/>
        </w:rPr>
        <w:t xml:space="preserve">Governing Framework: </w:t>
      </w:r>
      <w:r>
        <w:rPr>
          <w:rFonts w:ascii="Arial" w:cs="Arial" w:eastAsia="Arial" w:hAnsi="Arial"/>
          <w:color w:val="555555"/>
          <w:sz w:val="20"/>
          <w:szCs w:val="20"/>
        </w:rPr>
        <w:t xml:space="preserve">Nigeria Data Protection Regulation (NDPR) 2019</w:t>
      </w:r>
    </w:p>
    <w:p>
      <w:pPr>
        <w:spacing w:after="60" w:before="60"/>
        <w:jc w:val="center"/>
      </w:pPr>
      <w:r>
        <w:rPr>
          <w:rFonts w:ascii="Arial" w:cs="Arial" w:eastAsia="Arial" w:hAnsi="Arial"/>
          <w:b/>
          <w:bCs/>
          <w:color w:val="0B1F3A"/>
          <w:sz w:val="20"/>
          <w:szCs w:val="20"/>
        </w:rPr>
        <w:t xml:space="preserve">Data Controller: </w:t>
      </w:r>
      <w:r>
        <w:rPr>
          <w:rFonts w:ascii="Arial" w:cs="Arial" w:eastAsia="Arial" w:hAnsi="Arial"/>
          <w:color w:val="555555"/>
          <w:sz w:val="20"/>
          <w:szCs w:val="20"/>
        </w:rPr>
        <w:t xml:space="preserve">Rava Technology Limited</w:t>
      </w:r>
    </w:p>
    <w:p>
      <w:pPr>
        <w:spacing w:after="60" w:before="60"/>
        <w:jc w:val="center"/>
      </w:pPr>
      <w:r>
        <w:rPr>
          <w:rFonts w:ascii="Arial" w:cs="Arial" w:eastAsia="Arial" w:hAnsi="Arial"/>
          <w:b/>
          <w:bCs/>
          <w:color w:val="0B1F3A"/>
          <w:sz w:val="20"/>
          <w:szCs w:val="20"/>
        </w:rPr>
        <w:t xml:space="preserve">Contact: </w:t>
      </w:r>
      <w:r>
        <w:rPr>
          <w:rFonts w:ascii="Arial" w:cs="Arial" w:eastAsia="Arial" w:hAnsi="Arial"/>
          <w:color w:val="555555"/>
          <w:sz w:val="20"/>
          <w:szCs w:val="20"/>
        </w:rPr>
        <w:t xml:space="preserve">legal@rava.io</w:t>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80" w:before="80"/>
        <w:jc w:val="both"/>
      </w:pPr>
      <w:r>
        <w:rPr>
          <w:rFonts w:ascii="Arial" w:cs="Arial" w:eastAsia="Arial" w:hAnsi="Arial"/>
          <w:color w:val="888888"/>
          <w:sz w:val="20"/>
          <w:szCs w:val="20"/>
        </w:rPr>
        <w:t xml:space="preserve">Your privacy is fundamental to how Rava operates. This Privacy Policy explains what personal data we collect, why we collect it, how we use it, and your rights under the Nigeria Data Protection Regulation (NDPR) 2019 and applicable Nigerian law.</w:t>
      </w:r>
    </w:p>
    <w:p>
      <w:pPr>
        <w:pBdr>
          <w:bottom w:val="single" w:color="DDDDDD" w:sz="4" w:space="1"/>
        </w:pBdr>
        <w:spacing w:after="200" w:before="200"/>
      </w:pPr>
      <w:r>
        <w:rPr>
          <w:rFonts w:ascii="Arial" w:cs="Arial" w:eastAsia="Arial" w:hAnsi="Arial"/>
          <w:sz w:val="4"/>
          <w:szCs w:val="4"/>
        </w:rPr>
        <w:t xml:space="preserve"/>
      </w:r>
    </w:p>
    <w:p>
      <w:pPr>
        <w:pStyle w:val="Heading1"/>
        <w:spacing w:after="160" w:before="400"/>
      </w:pPr>
      <w:r>
        <w:rPr>
          <w:rFonts w:ascii="Arial" w:cs="Arial" w:eastAsia="Arial" w:hAnsi="Arial"/>
          <w:b/>
          <w:bCs/>
          <w:color w:val="0B1F3A"/>
          <w:sz w:val="28"/>
          <w:szCs w:val="28"/>
        </w:rPr>
        <w:t xml:space="preserve">1. Who We Are</w:t>
      </w:r>
    </w:p>
    <w:p>
      <w:pPr>
        <w:spacing w:after="80" w:before="80"/>
        <w:jc w:val="both"/>
      </w:pPr>
      <w:r>
        <w:rPr>
          <w:rFonts w:ascii="Arial" w:cs="Arial" w:eastAsia="Arial" w:hAnsi="Arial"/>
          <w:color w:val="555555"/>
          <w:sz w:val="20"/>
          <w:szCs w:val="20"/>
        </w:rPr>
        <w:t xml:space="preserve">Rava Technology Limited ("Rava", "we", "us", "our") is the Data Controller responsible for personal data collected through the rava.io platform and associated mobile applications. We are subject to the Nigeria Data Protection Regulation (NDPR) 2019 and the National Information Technology Development Agency Act.</w:t>
      </w:r>
    </w:p>
    <w:p>
      <w:pPr>
        <w:pStyle w:val="Heading1"/>
        <w:spacing w:after="160" w:before="400"/>
      </w:pPr>
      <w:r>
        <w:rPr>
          <w:rFonts w:ascii="Arial" w:cs="Arial" w:eastAsia="Arial" w:hAnsi="Arial"/>
          <w:b/>
          <w:bCs/>
          <w:color w:val="0B1F3A"/>
          <w:sz w:val="28"/>
          <w:szCs w:val="28"/>
        </w:rPr>
        <w:t xml:space="preserve">2. Data We Collect</w:t>
      </w:r>
    </w:p>
    <w:p>
      <w:pPr>
        <w:pStyle w:val="Heading2"/>
        <w:spacing w:after="120" w:before="300"/>
      </w:pPr>
      <w:r>
        <w:rPr>
          <w:rFonts w:ascii="Arial" w:cs="Arial" w:eastAsia="Arial" w:hAnsi="Arial"/>
          <w:b/>
          <w:bCs/>
          <w:color w:val="0B1F3A"/>
          <w:sz w:val="24"/>
          <w:szCs w:val="24"/>
        </w:rPr>
        <w:t xml:space="preserve">2.1 Registration and Identity Data</w:t>
      </w:r>
    </w:p>
    <w:p>
      <w:pPr>
        <w:pStyle w:val="ListParagraph"/>
        <w:numPr>
          <w:ilvl w:val="0"/>
          <w:numId w:val="2"/>
        </w:numPr>
        <w:spacing w:after="60" w:before="60"/>
      </w:pPr>
      <w:r>
        <w:rPr>
          <w:rFonts w:ascii="Arial" w:cs="Arial" w:eastAsia="Arial" w:hAnsi="Arial"/>
          <w:color w:val="555555"/>
          <w:sz w:val="20"/>
          <w:szCs w:val="20"/>
        </w:rPr>
        <w:t xml:space="preserve">Full legal name</w:t>
      </w:r>
    </w:p>
    <w:p>
      <w:pPr>
        <w:pStyle w:val="ListParagraph"/>
        <w:numPr>
          <w:ilvl w:val="0"/>
          <w:numId w:val="2"/>
        </w:numPr>
        <w:spacing w:after="60" w:before="60"/>
      </w:pPr>
      <w:r>
        <w:rPr>
          <w:rFonts w:ascii="Arial" w:cs="Arial" w:eastAsia="Arial" w:hAnsi="Arial"/>
          <w:color w:val="555555"/>
          <w:sz w:val="20"/>
          <w:szCs w:val="20"/>
        </w:rPr>
        <w:t xml:space="preserve">Date of birth</w:t>
      </w:r>
    </w:p>
    <w:p>
      <w:pPr>
        <w:pStyle w:val="ListParagraph"/>
        <w:numPr>
          <w:ilvl w:val="0"/>
          <w:numId w:val="2"/>
        </w:numPr>
        <w:spacing w:after="60" w:before="60"/>
      </w:pPr>
      <w:r>
        <w:rPr>
          <w:rFonts w:ascii="Arial" w:cs="Arial" w:eastAsia="Arial" w:hAnsi="Arial"/>
          <w:color w:val="555555"/>
          <w:sz w:val="20"/>
          <w:szCs w:val="20"/>
        </w:rPr>
        <w:t xml:space="preserve">Email address and phone number</w:t>
      </w:r>
    </w:p>
    <w:p>
      <w:pPr>
        <w:pStyle w:val="ListParagraph"/>
        <w:numPr>
          <w:ilvl w:val="0"/>
          <w:numId w:val="2"/>
        </w:numPr>
        <w:spacing w:after="60" w:before="60"/>
      </w:pPr>
      <w:r>
        <w:rPr>
          <w:rFonts w:ascii="Arial" w:cs="Arial" w:eastAsia="Arial" w:hAnsi="Arial"/>
          <w:color w:val="555555"/>
          <w:sz w:val="20"/>
          <w:szCs w:val="20"/>
        </w:rPr>
        <w:t xml:space="preserve">BVN (Bank Verification Number) — encrypted at rest</w:t>
      </w:r>
    </w:p>
    <w:p>
      <w:pPr>
        <w:pStyle w:val="ListParagraph"/>
        <w:numPr>
          <w:ilvl w:val="0"/>
          <w:numId w:val="2"/>
        </w:numPr>
        <w:spacing w:after="60" w:before="60"/>
      </w:pPr>
      <w:r>
        <w:rPr>
          <w:rFonts w:ascii="Arial" w:cs="Arial" w:eastAsia="Arial" w:hAnsi="Arial"/>
          <w:color w:val="555555"/>
          <w:sz w:val="20"/>
          <w:szCs w:val="20"/>
        </w:rPr>
        <w:t xml:space="preserve">NIN (National Identification Number) — encrypted at rest</w:t>
      </w:r>
    </w:p>
    <w:p>
      <w:pPr>
        <w:pStyle w:val="ListParagraph"/>
        <w:numPr>
          <w:ilvl w:val="0"/>
          <w:numId w:val="2"/>
        </w:numPr>
        <w:spacing w:after="60" w:before="60"/>
      </w:pPr>
      <w:r>
        <w:rPr>
          <w:rFonts w:ascii="Arial" w:cs="Arial" w:eastAsia="Arial" w:hAnsi="Arial"/>
          <w:color w:val="555555"/>
          <w:sz w:val="20"/>
          <w:szCs w:val="20"/>
        </w:rPr>
        <w:t xml:space="preserve">Government-issued identification documents</w:t>
      </w:r>
    </w:p>
    <w:p>
      <w:pPr>
        <w:pStyle w:val="ListParagraph"/>
        <w:numPr>
          <w:ilvl w:val="0"/>
          <w:numId w:val="2"/>
        </w:numPr>
        <w:spacing w:after="60" w:before="60"/>
      </w:pPr>
      <w:r>
        <w:rPr>
          <w:rFonts w:ascii="Arial" w:cs="Arial" w:eastAsia="Arial" w:hAnsi="Arial"/>
          <w:color w:val="555555"/>
          <w:sz w:val="20"/>
          <w:szCs w:val="20"/>
        </w:rPr>
        <w:t xml:space="preserve">Selfie or biometric photo for identity verification</w:t>
      </w:r>
    </w:p>
    <w:p>
      <w:pPr>
        <w:pStyle w:val="Heading2"/>
        <w:spacing w:after="120" w:before="300"/>
      </w:pPr>
      <w:r>
        <w:rPr>
          <w:rFonts w:ascii="Arial" w:cs="Arial" w:eastAsia="Arial" w:hAnsi="Arial"/>
          <w:b/>
          <w:bCs/>
          <w:color w:val="0B1F3A"/>
          <w:sz w:val="24"/>
          <w:szCs w:val="24"/>
        </w:rPr>
        <w:t xml:space="preserve">2.2 Financial Data (Rava Score)</w:t>
      </w:r>
    </w:p>
    <w:p>
      <w:pPr>
        <w:spacing w:after="80" w:before="80"/>
        <w:jc w:val="both"/>
      </w:pPr>
      <w:r>
        <w:rPr>
          <w:rFonts w:ascii="Arial" w:cs="Arial" w:eastAsia="Arial" w:hAnsi="Arial"/>
          <w:color w:val="555555"/>
          <w:sz w:val="20"/>
          <w:szCs w:val="20"/>
        </w:rPr>
        <w:t xml:space="preserve">Where you consent to Rava Score assessment, we collect the following via authorised open banking API integration:</w:t>
      </w:r>
    </w:p>
    <w:p>
      <w:pPr>
        <w:pStyle w:val="ListParagraph"/>
        <w:numPr>
          <w:ilvl w:val="0"/>
          <w:numId w:val="2"/>
        </w:numPr>
        <w:spacing w:after="60" w:before="60"/>
      </w:pPr>
      <w:r>
        <w:rPr>
          <w:rFonts w:ascii="Arial" w:cs="Arial" w:eastAsia="Arial" w:hAnsi="Arial"/>
          <w:color w:val="555555"/>
          <w:sz w:val="20"/>
          <w:szCs w:val="20"/>
        </w:rPr>
        <w:t xml:space="preserve">Account transaction signals (derived scoring signals only — raw transaction data is never stored)</w:t>
      </w:r>
    </w:p>
    <w:p>
      <w:pPr>
        <w:pStyle w:val="ListParagraph"/>
        <w:numPr>
          <w:ilvl w:val="0"/>
          <w:numId w:val="2"/>
        </w:numPr>
        <w:spacing w:after="60" w:before="60"/>
      </w:pPr>
      <w:r>
        <w:rPr>
          <w:rFonts w:ascii="Arial" w:cs="Arial" w:eastAsia="Arial" w:hAnsi="Arial"/>
          <w:color w:val="555555"/>
          <w:sz w:val="20"/>
          <w:szCs w:val="20"/>
        </w:rPr>
        <w:t xml:space="preserve">Account balance patterns</w:t>
      </w:r>
    </w:p>
    <w:p>
      <w:pPr>
        <w:pStyle w:val="ListParagraph"/>
        <w:numPr>
          <w:ilvl w:val="0"/>
          <w:numId w:val="2"/>
        </w:numPr>
        <w:spacing w:after="60" w:before="60"/>
      </w:pPr>
      <w:r>
        <w:rPr>
          <w:rFonts w:ascii="Arial" w:cs="Arial" w:eastAsia="Arial" w:hAnsi="Arial"/>
          <w:color w:val="555555"/>
          <w:sz w:val="20"/>
          <w:szCs w:val="20"/>
        </w:rPr>
        <w:t xml:space="preserve">Income regularity indicators</w:t>
      </w:r>
    </w:p>
    <w:p>
      <w:pPr>
        <w:pStyle w:val="ListParagraph"/>
        <w:numPr>
          <w:ilvl w:val="0"/>
          <w:numId w:val="2"/>
        </w:numPr>
        <w:spacing w:after="60" w:before="60"/>
      </w:pPr>
      <w:r>
        <w:rPr>
          <w:rFonts w:ascii="Arial" w:cs="Arial" w:eastAsia="Arial" w:hAnsi="Arial"/>
          <w:color w:val="555555"/>
          <w:sz w:val="20"/>
          <w:szCs w:val="20"/>
        </w:rPr>
        <w:t xml:space="preserve">Loan and credit obligation signals</w:t>
      </w:r>
    </w:p>
    <w:p>
      <w:pPr>
        <w:pStyle w:val="ListParagraph"/>
        <w:numPr>
          <w:ilvl w:val="0"/>
          <w:numId w:val="2"/>
        </w:numPr>
        <w:spacing w:after="60" w:before="60"/>
      </w:pPr>
      <w:r>
        <w:rPr>
          <w:rFonts w:ascii="Arial" w:cs="Arial" w:eastAsia="Arial" w:hAnsi="Arial"/>
          <w:color w:val="555555"/>
          <w:sz w:val="20"/>
          <w:szCs w:val="20"/>
        </w:rPr>
        <w:t xml:space="preserve">Multi-account linkage data via BVN</w:t>
      </w:r>
    </w:p>
    <w:p>
      <w:pPr>
        <w:pStyle w:val="Heading2"/>
        <w:spacing w:after="120" w:before="300"/>
      </w:pPr>
      <w:r>
        <w:rPr>
          <w:rFonts w:ascii="Arial" w:cs="Arial" w:eastAsia="Arial" w:hAnsi="Arial"/>
          <w:b/>
          <w:bCs/>
          <w:color w:val="0B1F3A"/>
          <w:sz w:val="24"/>
          <w:szCs w:val="24"/>
        </w:rPr>
        <w:t xml:space="preserve">2.3 Employment and Professional Data</w:t>
      </w:r>
    </w:p>
    <w:p>
      <w:pPr>
        <w:pStyle w:val="ListParagraph"/>
        <w:numPr>
          <w:ilvl w:val="0"/>
          <w:numId w:val="2"/>
        </w:numPr>
        <w:spacing w:after="60" w:before="60"/>
      </w:pPr>
      <w:r>
        <w:rPr>
          <w:rFonts w:ascii="Arial" w:cs="Arial" w:eastAsia="Arial" w:hAnsi="Arial"/>
          <w:color w:val="555555"/>
          <w:sz w:val="20"/>
          <w:szCs w:val="20"/>
        </w:rPr>
        <w:t xml:space="preserve">Employer name and employment status</w:t>
      </w:r>
    </w:p>
    <w:p>
      <w:pPr>
        <w:pStyle w:val="ListParagraph"/>
        <w:numPr>
          <w:ilvl w:val="0"/>
          <w:numId w:val="2"/>
        </w:numPr>
        <w:spacing w:after="60" w:before="60"/>
      </w:pPr>
      <w:r>
        <w:rPr>
          <w:rFonts w:ascii="Arial" w:cs="Arial" w:eastAsia="Arial" w:hAnsi="Arial"/>
          <w:color w:val="555555"/>
          <w:sz w:val="20"/>
          <w:szCs w:val="20"/>
        </w:rPr>
        <w:t xml:space="preserve">Employment verification documents</w:t>
      </w:r>
    </w:p>
    <w:p>
      <w:pPr>
        <w:pStyle w:val="ListParagraph"/>
        <w:numPr>
          <w:ilvl w:val="0"/>
          <w:numId w:val="2"/>
        </w:numPr>
        <w:spacing w:after="60" w:before="60"/>
      </w:pPr>
      <w:r>
        <w:rPr>
          <w:rFonts w:ascii="Arial" w:cs="Arial" w:eastAsia="Arial" w:hAnsi="Arial"/>
          <w:color w:val="555555"/>
          <w:sz w:val="20"/>
          <w:szCs w:val="20"/>
        </w:rPr>
        <w:t xml:space="preserve">Monthly income range</w:t>
      </w:r>
    </w:p>
    <w:p>
      <w:pPr>
        <w:pStyle w:val="Heading2"/>
        <w:spacing w:after="120" w:before="300"/>
      </w:pPr>
      <w:r>
        <w:rPr>
          <w:rFonts w:ascii="Arial" w:cs="Arial" w:eastAsia="Arial" w:hAnsi="Arial"/>
          <w:b/>
          <w:bCs/>
          <w:color w:val="0B1F3A"/>
          <w:sz w:val="24"/>
          <w:szCs w:val="24"/>
        </w:rPr>
        <w:t xml:space="preserve">2.4 Property and Tenancy Data</w:t>
      </w:r>
    </w:p>
    <w:p>
      <w:pPr>
        <w:pStyle w:val="ListParagraph"/>
        <w:numPr>
          <w:ilvl w:val="0"/>
          <w:numId w:val="2"/>
        </w:numPr>
        <w:spacing w:after="60" w:before="60"/>
      </w:pPr>
      <w:r>
        <w:rPr>
          <w:rFonts w:ascii="Arial" w:cs="Arial" w:eastAsia="Arial" w:hAnsi="Arial"/>
          <w:color w:val="555555"/>
          <w:sz w:val="20"/>
          <w:szCs w:val="20"/>
        </w:rPr>
        <w:t xml:space="preserve">Property listings submitted by Landlords</w:t>
      </w:r>
    </w:p>
    <w:p>
      <w:pPr>
        <w:pStyle w:val="ListParagraph"/>
        <w:numPr>
          <w:ilvl w:val="0"/>
          <w:numId w:val="2"/>
        </w:numPr>
        <w:spacing w:after="60" w:before="60"/>
      </w:pPr>
      <w:r>
        <w:rPr>
          <w:rFonts w:ascii="Arial" w:cs="Arial" w:eastAsia="Arial" w:hAnsi="Arial"/>
          <w:color w:val="555555"/>
          <w:sz w:val="20"/>
          <w:szCs w:val="20"/>
        </w:rPr>
        <w:t xml:space="preserve">Tenancy applications and correspondence</w:t>
      </w:r>
    </w:p>
    <w:p>
      <w:pPr>
        <w:pStyle w:val="ListParagraph"/>
        <w:numPr>
          <w:ilvl w:val="0"/>
          <w:numId w:val="2"/>
        </w:numPr>
        <w:spacing w:after="60" w:before="60"/>
      </w:pPr>
      <w:r>
        <w:rPr>
          <w:rFonts w:ascii="Arial" w:cs="Arial" w:eastAsia="Arial" w:hAnsi="Arial"/>
          <w:color w:val="555555"/>
          <w:sz w:val="20"/>
          <w:szCs w:val="20"/>
        </w:rPr>
        <w:t xml:space="preserve">Tenancy agreement documents</w:t>
      </w:r>
    </w:p>
    <w:p>
      <w:pPr>
        <w:pStyle w:val="ListParagraph"/>
        <w:numPr>
          <w:ilvl w:val="0"/>
          <w:numId w:val="2"/>
        </w:numPr>
        <w:spacing w:after="60" w:before="60"/>
      </w:pPr>
      <w:r>
        <w:rPr>
          <w:rFonts w:ascii="Arial" w:cs="Arial" w:eastAsia="Arial" w:hAnsi="Arial"/>
          <w:color w:val="555555"/>
          <w:sz w:val="20"/>
          <w:szCs w:val="20"/>
        </w:rPr>
        <w:t xml:space="preserve">Rental payment records</w:t>
      </w:r>
    </w:p>
    <w:p>
      <w:pPr>
        <w:pStyle w:val="ListParagraph"/>
        <w:numPr>
          <w:ilvl w:val="0"/>
          <w:numId w:val="2"/>
        </w:numPr>
        <w:spacing w:after="60" w:before="60"/>
      </w:pPr>
      <w:r>
        <w:rPr>
          <w:rFonts w:ascii="Arial" w:cs="Arial" w:eastAsia="Arial" w:hAnsi="Arial"/>
          <w:color w:val="555555"/>
          <w:sz w:val="20"/>
          <w:szCs w:val="20"/>
        </w:rPr>
        <w:t xml:space="preserve">Prior rental history</w:t>
      </w:r>
    </w:p>
    <w:p>
      <w:pPr>
        <w:pStyle w:val="Heading2"/>
        <w:spacing w:after="120" w:before="300"/>
      </w:pPr>
      <w:r>
        <w:rPr>
          <w:rFonts w:ascii="Arial" w:cs="Arial" w:eastAsia="Arial" w:hAnsi="Arial"/>
          <w:b/>
          <w:bCs/>
          <w:color w:val="0B1F3A"/>
          <w:sz w:val="24"/>
          <w:szCs w:val="24"/>
        </w:rPr>
        <w:t xml:space="preserve">2.5 Platform Behaviour Data</w:t>
      </w:r>
    </w:p>
    <w:p>
      <w:pPr>
        <w:pStyle w:val="ListParagraph"/>
        <w:numPr>
          <w:ilvl w:val="0"/>
          <w:numId w:val="2"/>
        </w:numPr>
        <w:spacing w:after="60" w:before="60"/>
      </w:pPr>
      <w:r>
        <w:rPr>
          <w:rFonts w:ascii="Arial" w:cs="Arial" w:eastAsia="Arial" w:hAnsi="Arial"/>
          <w:color w:val="555555"/>
          <w:sz w:val="20"/>
          <w:szCs w:val="20"/>
        </w:rPr>
        <w:t xml:space="preserve">Login history and session data</w:t>
      </w:r>
    </w:p>
    <w:p>
      <w:pPr>
        <w:pStyle w:val="ListParagraph"/>
        <w:numPr>
          <w:ilvl w:val="0"/>
          <w:numId w:val="2"/>
        </w:numPr>
        <w:spacing w:after="60" w:before="60"/>
      </w:pPr>
      <w:r>
        <w:rPr>
          <w:rFonts w:ascii="Arial" w:cs="Arial" w:eastAsia="Arial" w:hAnsi="Arial"/>
          <w:color w:val="555555"/>
          <w:sz w:val="20"/>
          <w:szCs w:val="20"/>
        </w:rPr>
        <w:t xml:space="preserve">Messages exchanged through the Platform's in-app messaging system</w:t>
      </w:r>
    </w:p>
    <w:p>
      <w:pPr>
        <w:pStyle w:val="ListParagraph"/>
        <w:numPr>
          <w:ilvl w:val="0"/>
          <w:numId w:val="2"/>
        </w:numPr>
        <w:spacing w:after="60" w:before="60"/>
      </w:pPr>
      <w:r>
        <w:rPr>
          <w:rFonts w:ascii="Arial" w:cs="Arial" w:eastAsia="Arial" w:hAnsi="Arial"/>
          <w:color w:val="555555"/>
          <w:sz w:val="20"/>
          <w:szCs w:val="20"/>
        </w:rPr>
        <w:t xml:space="preserve">Property search and browsing history</w:t>
      </w:r>
    </w:p>
    <w:p>
      <w:pPr>
        <w:pStyle w:val="ListParagraph"/>
        <w:numPr>
          <w:ilvl w:val="0"/>
          <w:numId w:val="2"/>
        </w:numPr>
        <w:spacing w:after="60" w:before="60"/>
      </w:pPr>
      <w:r>
        <w:rPr>
          <w:rFonts w:ascii="Arial" w:cs="Arial" w:eastAsia="Arial" w:hAnsi="Arial"/>
          <w:color w:val="555555"/>
          <w:sz w:val="20"/>
          <w:szCs w:val="20"/>
        </w:rPr>
        <w:t xml:space="preserve">Reviews and ratings submitted</w:t>
      </w:r>
    </w:p>
    <w:p>
      <w:pPr>
        <w:pStyle w:val="ListParagraph"/>
        <w:numPr>
          <w:ilvl w:val="0"/>
          <w:numId w:val="2"/>
        </w:numPr>
        <w:spacing w:after="60" w:before="60"/>
      </w:pPr>
      <w:r>
        <w:rPr>
          <w:rFonts w:ascii="Arial" w:cs="Arial" w:eastAsia="Arial" w:hAnsi="Arial"/>
          <w:color w:val="555555"/>
          <w:sz w:val="20"/>
          <w:szCs w:val="20"/>
        </w:rPr>
        <w:t xml:space="preserve">Inspection compliance history</w:t>
      </w:r>
    </w:p>
    <w:p>
      <w:pPr>
        <w:pStyle w:val="Heading2"/>
        <w:spacing w:after="120" w:before="300"/>
      </w:pPr>
      <w:r>
        <w:rPr>
          <w:rFonts w:ascii="Arial" w:cs="Arial" w:eastAsia="Arial" w:hAnsi="Arial"/>
          <w:b/>
          <w:bCs/>
          <w:color w:val="0B1F3A"/>
          <w:sz w:val="24"/>
          <w:szCs w:val="24"/>
        </w:rPr>
        <w:t xml:space="preserve">2.6 Device and Technical Data</w:t>
      </w:r>
    </w:p>
    <w:p>
      <w:pPr>
        <w:pStyle w:val="ListParagraph"/>
        <w:numPr>
          <w:ilvl w:val="0"/>
          <w:numId w:val="2"/>
        </w:numPr>
        <w:spacing w:after="60" w:before="60"/>
      </w:pPr>
      <w:r>
        <w:rPr>
          <w:rFonts w:ascii="Arial" w:cs="Arial" w:eastAsia="Arial" w:hAnsi="Arial"/>
          <w:color w:val="555555"/>
          <w:sz w:val="20"/>
          <w:szCs w:val="20"/>
        </w:rPr>
        <w:t xml:space="preserve">IP address</w:t>
      </w:r>
    </w:p>
    <w:p>
      <w:pPr>
        <w:pStyle w:val="ListParagraph"/>
        <w:numPr>
          <w:ilvl w:val="0"/>
          <w:numId w:val="2"/>
        </w:numPr>
        <w:spacing w:after="60" w:before="60"/>
      </w:pPr>
      <w:r>
        <w:rPr>
          <w:rFonts w:ascii="Arial" w:cs="Arial" w:eastAsia="Arial" w:hAnsi="Arial"/>
          <w:color w:val="555555"/>
          <w:sz w:val="20"/>
          <w:szCs w:val="20"/>
        </w:rPr>
        <w:t xml:space="preserve">Device type, operating system, and browser type</w:t>
      </w:r>
    </w:p>
    <w:p>
      <w:pPr>
        <w:pStyle w:val="ListParagraph"/>
        <w:numPr>
          <w:ilvl w:val="0"/>
          <w:numId w:val="2"/>
        </w:numPr>
        <w:spacing w:after="60" w:before="60"/>
      </w:pPr>
      <w:r>
        <w:rPr>
          <w:rFonts w:ascii="Arial" w:cs="Arial" w:eastAsia="Arial" w:hAnsi="Arial"/>
          <w:color w:val="555555"/>
          <w:sz w:val="20"/>
          <w:szCs w:val="20"/>
        </w:rPr>
        <w:t xml:space="preserve">Cookie data and usage analytics</w:t>
      </w:r>
    </w:p>
    <w:p>
      <w:pPr>
        <w:pStyle w:val="Heading1"/>
        <w:spacing w:after="160" w:before="400"/>
      </w:pPr>
      <w:r>
        <w:rPr>
          <w:rFonts w:ascii="Arial" w:cs="Arial" w:eastAsia="Arial" w:hAnsi="Arial"/>
          <w:b/>
          <w:bCs/>
          <w:color w:val="0B1F3A"/>
          <w:sz w:val="28"/>
          <w:szCs w:val="28"/>
        </w:rPr>
        <w:t xml:space="preserve">3. How We Use Your Data</w:t>
      </w:r>
    </w:p>
    <w:p>
      <w:pPr>
        <w:pStyle w:val="Heading2"/>
        <w:spacing w:after="120" w:before="300"/>
      </w:pPr>
      <w:r>
        <w:rPr>
          <w:rFonts w:ascii="Arial" w:cs="Arial" w:eastAsia="Arial" w:hAnsi="Arial"/>
          <w:b/>
          <w:bCs/>
          <w:color w:val="0B1F3A"/>
          <w:sz w:val="24"/>
          <w:szCs w:val="24"/>
        </w:rPr>
        <w:t xml:space="preserve">3.1 Platform Operation (Contractual Necessity)</w:t>
      </w:r>
    </w:p>
    <w:p>
      <w:pPr>
        <w:pStyle w:val="ListParagraph"/>
        <w:numPr>
          <w:ilvl w:val="0"/>
          <w:numId w:val="2"/>
        </w:numPr>
        <w:spacing w:after="60" w:before="60"/>
      </w:pPr>
      <w:r>
        <w:rPr>
          <w:rFonts w:ascii="Arial" w:cs="Arial" w:eastAsia="Arial" w:hAnsi="Arial"/>
          <w:color w:val="555555"/>
          <w:sz w:val="20"/>
          <w:szCs w:val="20"/>
        </w:rPr>
        <w:t xml:space="preserve">Creating and managing your Rava account</w:t>
      </w:r>
    </w:p>
    <w:p>
      <w:pPr>
        <w:pStyle w:val="ListParagraph"/>
        <w:numPr>
          <w:ilvl w:val="0"/>
          <w:numId w:val="2"/>
        </w:numPr>
        <w:spacing w:after="60" w:before="60"/>
      </w:pPr>
      <w:r>
        <w:rPr>
          <w:rFonts w:ascii="Arial" w:cs="Arial" w:eastAsia="Arial" w:hAnsi="Arial"/>
          <w:color w:val="555555"/>
          <w:sz w:val="20"/>
          <w:szCs w:val="20"/>
        </w:rPr>
        <w:t xml:space="preserve">Processing property listings and tenancy applications</w:t>
      </w:r>
    </w:p>
    <w:p>
      <w:pPr>
        <w:pStyle w:val="ListParagraph"/>
        <w:numPr>
          <w:ilvl w:val="0"/>
          <w:numId w:val="2"/>
        </w:numPr>
        <w:spacing w:after="60" w:before="60"/>
      </w:pPr>
      <w:r>
        <w:rPr>
          <w:rFonts w:ascii="Arial" w:cs="Arial" w:eastAsia="Arial" w:hAnsi="Arial"/>
          <w:color w:val="555555"/>
          <w:sz w:val="20"/>
          <w:szCs w:val="20"/>
        </w:rPr>
        <w:t xml:space="preserve">Facilitating messaging between Landlords and Tenants</w:t>
      </w:r>
    </w:p>
    <w:p>
      <w:pPr>
        <w:pStyle w:val="ListParagraph"/>
        <w:numPr>
          <w:ilvl w:val="0"/>
          <w:numId w:val="2"/>
        </w:numPr>
        <w:spacing w:after="60" w:before="60"/>
      </w:pPr>
      <w:r>
        <w:rPr>
          <w:rFonts w:ascii="Arial" w:cs="Arial" w:eastAsia="Arial" w:hAnsi="Arial"/>
          <w:color w:val="555555"/>
          <w:sz w:val="20"/>
          <w:szCs w:val="20"/>
        </w:rPr>
        <w:t xml:space="preserve">Processing subscription payments</w:t>
      </w:r>
    </w:p>
    <w:p>
      <w:pPr>
        <w:pStyle w:val="ListParagraph"/>
        <w:numPr>
          <w:ilvl w:val="0"/>
          <w:numId w:val="2"/>
        </w:numPr>
        <w:spacing w:after="60" w:before="60"/>
      </w:pPr>
      <w:r>
        <w:rPr>
          <w:rFonts w:ascii="Arial" w:cs="Arial" w:eastAsia="Arial" w:hAnsi="Arial"/>
          <w:color w:val="555555"/>
          <w:sz w:val="20"/>
          <w:szCs w:val="20"/>
        </w:rPr>
        <w:t xml:space="preserve">Delivering property inspection reports</w:t>
      </w:r>
    </w:p>
    <w:p>
      <w:pPr>
        <w:pStyle w:val="Heading2"/>
        <w:spacing w:after="120" w:before="300"/>
      </w:pPr>
      <w:r>
        <w:rPr>
          <w:rFonts w:ascii="Arial" w:cs="Arial" w:eastAsia="Arial" w:hAnsi="Arial"/>
          <w:b/>
          <w:bCs/>
          <w:color w:val="0B1F3A"/>
          <w:sz w:val="24"/>
          <w:szCs w:val="24"/>
        </w:rPr>
        <w:t xml:space="preserve">3.2 Rava Score (Consent)</w:t>
      </w:r>
    </w:p>
    <w:p>
      <w:pPr>
        <w:pStyle w:val="ListParagraph"/>
        <w:numPr>
          <w:ilvl w:val="0"/>
          <w:numId w:val="2"/>
        </w:numPr>
        <w:spacing w:after="60" w:before="60"/>
      </w:pPr>
      <w:r>
        <w:rPr>
          <w:rFonts w:ascii="Arial" w:cs="Arial" w:eastAsia="Arial" w:hAnsi="Arial"/>
          <w:color w:val="555555"/>
          <w:sz w:val="20"/>
          <w:szCs w:val="20"/>
        </w:rPr>
        <w:t xml:space="preserve">Calculating your tenant creditworthiness score across defined dimensions</w:t>
      </w:r>
    </w:p>
    <w:p>
      <w:pPr>
        <w:pStyle w:val="ListParagraph"/>
        <w:numPr>
          <w:ilvl w:val="0"/>
          <w:numId w:val="2"/>
        </w:numPr>
        <w:spacing w:after="60" w:before="60"/>
      </w:pPr>
      <w:r>
        <w:rPr>
          <w:rFonts w:ascii="Arial" w:cs="Arial" w:eastAsia="Arial" w:hAnsi="Arial"/>
          <w:color w:val="555555"/>
          <w:sz w:val="20"/>
          <w:szCs w:val="20"/>
        </w:rPr>
        <w:t xml:space="preserve">Detecting fraudulent accounts via BVN-linked multi-account analysis</w:t>
      </w:r>
    </w:p>
    <w:p>
      <w:pPr>
        <w:pStyle w:val="ListParagraph"/>
        <w:numPr>
          <w:ilvl w:val="0"/>
          <w:numId w:val="2"/>
        </w:numPr>
        <w:spacing w:after="60" w:before="60"/>
      </w:pPr>
      <w:r>
        <w:rPr>
          <w:rFonts w:ascii="Arial" w:cs="Arial" w:eastAsia="Arial" w:hAnsi="Arial"/>
          <w:color w:val="555555"/>
          <w:sz w:val="20"/>
          <w:szCs w:val="20"/>
        </w:rPr>
        <w:t xml:space="preserve">Updating your score periodically as new data becomes available</w:t>
      </w:r>
    </w:p>
    <w:p>
      <w:pPr>
        <w:pStyle w:val="Heading2"/>
        <w:spacing w:after="120" w:before="300"/>
      </w:pPr>
      <w:r>
        <w:rPr>
          <w:rFonts w:ascii="Arial" w:cs="Arial" w:eastAsia="Arial" w:hAnsi="Arial"/>
          <w:b/>
          <w:bCs/>
          <w:color w:val="0B1F3A"/>
          <w:sz w:val="24"/>
          <w:szCs w:val="24"/>
        </w:rPr>
        <w:t xml:space="preserve">3.3 Safety and Fraud Prevention (Legitimate Interest)</w:t>
      </w:r>
    </w:p>
    <w:p>
      <w:pPr>
        <w:pStyle w:val="ListParagraph"/>
        <w:numPr>
          <w:ilvl w:val="0"/>
          <w:numId w:val="2"/>
        </w:numPr>
        <w:spacing w:after="60" w:before="60"/>
      </w:pPr>
      <w:r>
        <w:rPr>
          <w:rFonts w:ascii="Arial" w:cs="Arial" w:eastAsia="Arial" w:hAnsi="Arial"/>
          <w:color w:val="555555"/>
          <w:sz w:val="20"/>
          <w:szCs w:val="20"/>
        </w:rPr>
        <w:t xml:space="preserve">Detecting and preventing fraudulent listings, identity fraud, and platform abuse</w:t>
      </w:r>
    </w:p>
    <w:p>
      <w:pPr>
        <w:pStyle w:val="ListParagraph"/>
        <w:numPr>
          <w:ilvl w:val="0"/>
          <w:numId w:val="2"/>
        </w:numPr>
        <w:spacing w:after="60" w:before="60"/>
      </w:pPr>
      <w:r>
        <w:rPr>
          <w:rFonts w:ascii="Arial" w:cs="Arial" w:eastAsia="Arial" w:hAnsi="Arial"/>
          <w:color w:val="555555"/>
          <w:sz w:val="20"/>
          <w:szCs w:val="20"/>
        </w:rPr>
        <w:t xml:space="preserve">Reporting suspected fraud to the NFIU, EFCC, or other relevant Nigerian authorities where legally required</w:t>
      </w:r>
    </w:p>
    <w:p>
      <w:pPr>
        <w:pStyle w:val="ListParagraph"/>
        <w:numPr>
          <w:ilvl w:val="0"/>
          <w:numId w:val="2"/>
        </w:numPr>
        <w:spacing w:after="60" w:before="60"/>
      </w:pPr>
      <w:r>
        <w:rPr>
          <w:rFonts w:ascii="Arial" w:cs="Arial" w:eastAsia="Arial" w:hAnsi="Arial"/>
          <w:color w:val="555555"/>
          <w:sz w:val="20"/>
          <w:szCs w:val="20"/>
        </w:rPr>
        <w:t xml:space="preserve">Maintaining the security and integrity of the Platform</w:t>
      </w:r>
    </w:p>
    <w:p>
      <w:pPr>
        <w:pStyle w:val="Heading2"/>
        <w:spacing w:after="120" w:before="300"/>
      </w:pPr>
      <w:r>
        <w:rPr>
          <w:rFonts w:ascii="Arial" w:cs="Arial" w:eastAsia="Arial" w:hAnsi="Arial"/>
          <w:b/>
          <w:bCs/>
          <w:color w:val="0B1F3A"/>
          <w:sz w:val="24"/>
          <w:szCs w:val="24"/>
        </w:rPr>
        <w:t xml:space="preserve">3.4 Legal Compliance (Legal Obligation)</w:t>
      </w:r>
    </w:p>
    <w:p>
      <w:pPr>
        <w:pStyle w:val="ListParagraph"/>
        <w:numPr>
          <w:ilvl w:val="0"/>
          <w:numId w:val="2"/>
        </w:numPr>
        <w:spacing w:after="60" w:before="60"/>
      </w:pPr>
      <w:r>
        <w:rPr>
          <w:rFonts w:ascii="Arial" w:cs="Arial" w:eastAsia="Arial" w:hAnsi="Arial"/>
          <w:color w:val="555555"/>
          <w:sz w:val="20"/>
          <w:szCs w:val="20"/>
        </w:rPr>
        <w:t xml:space="preserve">Complying with applicable Nigerian laws and regulations</w:t>
      </w:r>
    </w:p>
    <w:p>
      <w:pPr>
        <w:pStyle w:val="ListParagraph"/>
        <w:numPr>
          <w:ilvl w:val="0"/>
          <w:numId w:val="2"/>
        </w:numPr>
        <w:spacing w:after="60" w:before="60"/>
      </w:pPr>
      <w:r>
        <w:rPr>
          <w:rFonts w:ascii="Arial" w:cs="Arial" w:eastAsia="Arial" w:hAnsi="Arial"/>
          <w:color w:val="555555"/>
          <w:sz w:val="20"/>
          <w:szCs w:val="20"/>
        </w:rPr>
        <w:t xml:space="preserve">Responding to lawful requests from regulatory authorities or courts</w:t>
      </w:r>
    </w:p>
    <w:p>
      <w:pPr>
        <w:pStyle w:val="ListParagraph"/>
        <w:numPr>
          <w:ilvl w:val="0"/>
          <w:numId w:val="2"/>
        </w:numPr>
        <w:spacing w:after="60" w:before="60"/>
      </w:pPr>
      <w:r>
        <w:rPr>
          <w:rFonts w:ascii="Arial" w:cs="Arial" w:eastAsia="Arial" w:hAnsi="Arial"/>
          <w:color w:val="555555"/>
          <w:sz w:val="20"/>
          <w:szCs w:val="20"/>
        </w:rPr>
        <w:t xml:space="preserve">Maintaining records as required by Nigerian tax and commercial law</w:t>
      </w:r>
    </w:p>
    <w:p>
      <w:pPr>
        <w:pStyle w:val="Heading2"/>
        <w:spacing w:after="120" w:before="300"/>
      </w:pPr>
      <w:r>
        <w:rPr>
          <w:rFonts w:ascii="Arial" w:cs="Arial" w:eastAsia="Arial" w:hAnsi="Arial"/>
          <w:b/>
          <w:bCs/>
          <w:color w:val="0B1F3A"/>
          <w:sz w:val="24"/>
          <w:szCs w:val="24"/>
        </w:rPr>
        <w:t xml:space="preserve">3.5 Platform Improvement (Legitimate Interest)</w:t>
      </w:r>
    </w:p>
    <w:p>
      <w:pPr>
        <w:pStyle w:val="ListParagraph"/>
        <w:numPr>
          <w:ilvl w:val="0"/>
          <w:numId w:val="2"/>
        </w:numPr>
        <w:spacing w:after="60" w:before="60"/>
      </w:pPr>
      <w:r>
        <w:rPr>
          <w:rFonts w:ascii="Arial" w:cs="Arial" w:eastAsia="Arial" w:hAnsi="Arial"/>
          <w:color w:val="555555"/>
          <w:sz w:val="20"/>
          <w:szCs w:val="20"/>
        </w:rPr>
        <w:t xml:space="preserve">Analysing platform usage to improve features and user experience</w:t>
      </w:r>
    </w:p>
    <w:p>
      <w:pPr>
        <w:pStyle w:val="ListParagraph"/>
        <w:numPr>
          <w:ilvl w:val="0"/>
          <w:numId w:val="2"/>
        </w:numPr>
        <w:spacing w:after="60" w:before="60"/>
      </w:pPr>
      <w:r>
        <w:rPr>
          <w:rFonts w:ascii="Arial" w:cs="Arial" w:eastAsia="Arial" w:hAnsi="Arial"/>
          <w:color w:val="555555"/>
          <w:sz w:val="20"/>
          <w:szCs w:val="20"/>
        </w:rPr>
        <w:t xml:space="preserve">Generating anonymised and aggregated market analytics</w:t>
      </w:r>
    </w:p>
    <w:p>
      <w:pPr>
        <w:pStyle w:val="Heading1"/>
        <w:spacing w:after="160" w:before="400"/>
      </w:pPr>
      <w:r>
        <w:rPr>
          <w:rFonts w:ascii="Arial" w:cs="Arial" w:eastAsia="Arial" w:hAnsi="Arial"/>
          <w:b/>
          <w:bCs/>
          <w:color w:val="0B1F3A"/>
          <w:sz w:val="28"/>
          <w:szCs w:val="28"/>
        </w:rPr>
        <w:t xml:space="preserve">4. Legal Basis for Processing</w:t>
      </w:r>
    </w:p>
    <w:p>
      <w:pPr>
        <w:spacing w:after="80" w:before="80"/>
        <w:jc w:val="both"/>
      </w:pPr>
      <w:r>
        <w:rPr>
          <w:rFonts w:ascii="Arial" w:cs="Arial" w:eastAsia="Arial" w:hAnsi="Arial"/>
          <w:color w:val="555555"/>
          <w:sz w:val="20"/>
          <w:szCs w:val="20"/>
        </w:rPr>
        <w:t xml:space="preserve">Under the NDPR 2019, we process your personal data on the following legal bases:</w:t>
      </w:r>
    </w:p>
    <w:p>
      <w:pPr>
        <w:pStyle w:val="ListParagraph"/>
        <w:numPr>
          <w:ilvl w:val="0"/>
          <w:numId w:val="2"/>
        </w:numPr>
        <w:spacing w:after="60" w:before="60"/>
      </w:pPr>
      <w:r>
        <w:rPr>
          <w:rFonts w:ascii="Arial" w:cs="Arial" w:eastAsia="Arial" w:hAnsi="Arial"/>
          <w:color w:val="555555"/>
          <w:sz w:val="20"/>
          <w:szCs w:val="20"/>
        </w:rPr>
        <w:t xml:space="preserve">Consent — for Rava Score data collection, marketing communications, and optional features;</w:t>
      </w:r>
    </w:p>
    <w:p>
      <w:pPr>
        <w:pStyle w:val="ListParagraph"/>
        <w:numPr>
          <w:ilvl w:val="0"/>
          <w:numId w:val="2"/>
        </w:numPr>
        <w:spacing w:after="60" w:before="60"/>
      </w:pPr>
      <w:r>
        <w:rPr>
          <w:rFonts w:ascii="Arial" w:cs="Arial" w:eastAsia="Arial" w:hAnsi="Arial"/>
          <w:color w:val="555555"/>
          <w:sz w:val="20"/>
          <w:szCs w:val="20"/>
        </w:rPr>
        <w:t xml:space="preserve">Contractual necessity — for account management and service delivery;</w:t>
      </w:r>
    </w:p>
    <w:p>
      <w:pPr>
        <w:pStyle w:val="ListParagraph"/>
        <w:numPr>
          <w:ilvl w:val="0"/>
          <w:numId w:val="2"/>
        </w:numPr>
        <w:spacing w:after="60" w:before="60"/>
      </w:pPr>
      <w:r>
        <w:rPr>
          <w:rFonts w:ascii="Arial" w:cs="Arial" w:eastAsia="Arial" w:hAnsi="Arial"/>
          <w:color w:val="555555"/>
          <w:sz w:val="20"/>
          <w:szCs w:val="20"/>
        </w:rPr>
        <w:t xml:space="preserve">Legal obligation — for regulatory compliance and fraud reporting;</w:t>
      </w:r>
    </w:p>
    <w:p>
      <w:pPr>
        <w:pStyle w:val="ListParagraph"/>
        <w:numPr>
          <w:ilvl w:val="0"/>
          <w:numId w:val="2"/>
        </w:numPr>
        <w:spacing w:after="60" w:before="60"/>
      </w:pPr>
      <w:r>
        <w:rPr>
          <w:rFonts w:ascii="Arial" w:cs="Arial" w:eastAsia="Arial" w:hAnsi="Arial"/>
          <w:color w:val="555555"/>
          <w:sz w:val="20"/>
          <w:szCs w:val="20"/>
        </w:rPr>
        <w:t xml:space="preserve">Legitimate interest — for fraud prevention, platform security, and service improvement.</w:t>
      </w:r>
    </w:p>
    <w:p>
      <w:pPr>
        <w:pStyle w:val="Heading1"/>
        <w:spacing w:after="160" w:before="400"/>
      </w:pPr>
      <w:r>
        <w:rPr>
          <w:rFonts w:ascii="Arial" w:cs="Arial" w:eastAsia="Arial" w:hAnsi="Arial"/>
          <w:b/>
          <w:bCs/>
          <w:color w:val="0B1F3A"/>
          <w:sz w:val="28"/>
          <w:szCs w:val="28"/>
        </w:rPr>
        <w:t xml:space="preserve">5. Data We Do Not Store</w:t>
      </w:r>
    </w:p>
    <w:p>
      <w:pPr>
        <w:spacing w:after="80" w:before="80"/>
        <w:jc w:val="both"/>
      </w:pPr>
      <w:r>
        <w:rPr>
          <w:rFonts w:ascii="Arial" w:cs="Arial" w:eastAsia="Arial" w:hAnsi="Arial"/>
          <w:color w:val="555555"/>
          <w:sz w:val="20"/>
          <w:szCs w:val="20"/>
        </w:rPr>
        <w:t xml:space="preserve">Rava is committed to data minimisation. The following data is expressly excluded from our storage:</w:t>
      </w:r>
    </w:p>
    <w:p>
      <w:pPr>
        <w:pStyle w:val="ListParagraph"/>
        <w:numPr>
          <w:ilvl w:val="0"/>
          <w:numId w:val="2"/>
        </w:numPr>
        <w:spacing w:after="60" w:before="60"/>
      </w:pPr>
      <w:r>
        <w:rPr>
          <w:rFonts w:ascii="Arial" w:cs="Arial" w:eastAsia="Arial" w:hAnsi="Arial"/>
          <w:color w:val="555555"/>
          <w:sz w:val="20"/>
          <w:szCs w:val="20"/>
        </w:rPr>
        <w:t xml:space="preserve">Raw bank transaction data — only derived scoring signals are retained;</w:t>
      </w:r>
    </w:p>
    <w:p>
      <w:pPr>
        <w:pStyle w:val="ListParagraph"/>
        <w:numPr>
          <w:ilvl w:val="0"/>
          <w:numId w:val="2"/>
        </w:numPr>
        <w:spacing w:after="60" w:before="60"/>
      </w:pPr>
      <w:r>
        <w:rPr>
          <w:rFonts w:ascii="Arial" w:cs="Arial" w:eastAsia="Arial" w:hAnsi="Arial"/>
          <w:color w:val="555555"/>
          <w:sz w:val="20"/>
          <w:szCs w:val="20"/>
        </w:rPr>
        <w:t xml:space="preserve">Plain-text BVN or NIN — these are encrypted immediately upon receipt and never stored in readable form;</w:t>
      </w:r>
    </w:p>
    <w:p>
      <w:pPr>
        <w:pStyle w:val="ListParagraph"/>
        <w:numPr>
          <w:ilvl w:val="0"/>
          <w:numId w:val="2"/>
        </w:numPr>
        <w:spacing w:after="60" w:before="60"/>
      </w:pPr>
      <w:r>
        <w:rPr>
          <w:rFonts w:ascii="Arial" w:cs="Arial" w:eastAsia="Arial" w:hAnsi="Arial"/>
          <w:color w:val="555555"/>
          <w:sz w:val="20"/>
          <w:szCs w:val="20"/>
        </w:rPr>
        <w:t xml:space="preserve">Passwords — stored only as salted cryptographic hashes;</w:t>
      </w:r>
    </w:p>
    <w:p>
      <w:pPr>
        <w:pStyle w:val="ListParagraph"/>
        <w:numPr>
          <w:ilvl w:val="0"/>
          <w:numId w:val="2"/>
        </w:numPr>
        <w:spacing w:after="60" w:before="60"/>
      </w:pPr>
      <w:r>
        <w:rPr>
          <w:rFonts w:ascii="Arial" w:cs="Arial" w:eastAsia="Arial" w:hAnsi="Arial"/>
          <w:color w:val="555555"/>
          <w:sz w:val="20"/>
          <w:szCs w:val="20"/>
        </w:rPr>
        <w:t xml:space="preserve">Payment card details — processed exclusively by PCI-DSS compliant third-party payment processors.</w:t>
      </w:r>
    </w:p>
    <w:p>
      <w:pPr>
        <w:pStyle w:val="Heading1"/>
        <w:spacing w:after="160" w:before="400"/>
      </w:pPr>
      <w:r>
        <w:rPr>
          <w:rFonts w:ascii="Arial" w:cs="Arial" w:eastAsia="Arial" w:hAnsi="Arial"/>
          <w:b/>
          <w:bCs/>
          <w:color w:val="0B1F3A"/>
          <w:sz w:val="28"/>
          <w:szCs w:val="28"/>
        </w:rPr>
        <w:t xml:space="preserve">6. Data Sharing and Disclosure</w:t>
      </w:r>
    </w:p>
    <w:p>
      <w:pPr>
        <w:pStyle w:val="Heading2"/>
        <w:spacing w:after="120" w:before="300"/>
      </w:pPr>
      <w:r>
        <w:rPr>
          <w:rFonts w:ascii="Arial" w:cs="Arial" w:eastAsia="Arial" w:hAnsi="Arial"/>
          <w:b/>
          <w:bCs/>
          <w:color w:val="0B1F3A"/>
          <w:sz w:val="24"/>
          <w:szCs w:val="24"/>
        </w:rPr>
        <w:t xml:space="preserve">6.1 With Other Users</w:t>
      </w:r>
    </w:p>
    <w:p>
      <w:pPr>
        <w:spacing w:after="80" w:before="80"/>
        <w:jc w:val="both"/>
      </w:pPr>
      <w:r>
        <w:rPr>
          <w:rFonts w:ascii="Arial" w:cs="Arial" w:eastAsia="Arial" w:hAnsi="Arial"/>
          <w:color w:val="555555"/>
          <w:sz w:val="20"/>
          <w:szCs w:val="20"/>
        </w:rPr>
        <w:t xml:space="preserve">Tenant Rava Score tier (not raw score) and verified profile badges are visible to Landlords. Full financial details are only shared with a Landlord where a Tenant has applied for a specific property and the Tenant's plan includes full profile sharing. Landlord ratings and reviews are visible to all Platform users.</w:t>
      </w:r>
    </w:p>
    <w:p>
      <w:pPr>
        <w:pStyle w:val="Heading2"/>
        <w:spacing w:after="120" w:before="300"/>
      </w:pPr>
      <w:r>
        <w:rPr>
          <w:rFonts w:ascii="Arial" w:cs="Arial" w:eastAsia="Arial" w:hAnsi="Arial"/>
          <w:b/>
          <w:bCs/>
          <w:color w:val="0B1F3A"/>
          <w:sz w:val="24"/>
          <w:szCs w:val="24"/>
        </w:rPr>
        <w:t xml:space="preserve">6.2 With Service Providers</w:t>
      </w:r>
    </w:p>
    <w:p>
      <w:pPr>
        <w:spacing w:after="80" w:before="80"/>
        <w:jc w:val="both"/>
      </w:pPr>
      <w:r>
        <w:rPr>
          <w:rFonts w:ascii="Arial" w:cs="Arial" w:eastAsia="Arial" w:hAnsi="Arial"/>
          <w:color w:val="555555"/>
          <w:sz w:val="20"/>
          <w:szCs w:val="20"/>
        </w:rPr>
        <w:t xml:space="preserve">We share data with trusted third-party service providers who process data on our behalf under binding data processing agreements, including:</w:t>
      </w:r>
    </w:p>
    <w:p>
      <w:pPr>
        <w:pStyle w:val="ListParagraph"/>
        <w:numPr>
          <w:ilvl w:val="0"/>
          <w:numId w:val="2"/>
        </w:numPr>
        <w:spacing w:after="60" w:before="60"/>
      </w:pPr>
      <w:r>
        <w:rPr>
          <w:rFonts w:ascii="Arial" w:cs="Arial" w:eastAsia="Arial" w:hAnsi="Arial"/>
          <w:color w:val="555555"/>
          <w:sz w:val="20"/>
          <w:szCs w:val="20"/>
        </w:rPr>
        <w:t xml:space="preserve">Open banking API providers (for Rava Score financial signal ingestion);</w:t>
      </w:r>
    </w:p>
    <w:p>
      <w:pPr>
        <w:pStyle w:val="ListParagraph"/>
        <w:numPr>
          <w:ilvl w:val="0"/>
          <w:numId w:val="2"/>
        </w:numPr>
        <w:spacing w:after="60" w:before="60"/>
      </w:pPr>
      <w:r>
        <w:rPr>
          <w:rFonts w:ascii="Arial" w:cs="Arial" w:eastAsia="Arial" w:hAnsi="Arial"/>
          <w:color w:val="555555"/>
          <w:sz w:val="20"/>
          <w:szCs w:val="20"/>
        </w:rPr>
        <w:t xml:space="preserve">Identity verification service providers;</w:t>
      </w:r>
    </w:p>
    <w:p>
      <w:pPr>
        <w:pStyle w:val="ListParagraph"/>
        <w:numPr>
          <w:ilvl w:val="0"/>
          <w:numId w:val="2"/>
        </w:numPr>
        <w:spacing w:after="60" w:before="60"/>
      </w:pPr>
      <w:r>
        <w:rPr>
          <w:rFonts w:ascii="Arial" w:cs="Arial" w:eastAsia="Arial" w:hAnsi="Arial"/>
          <w:color w:val="555555"/>
          <w:sz w:val="20"/>
          <w:szCs w:val="20"/>
        </w:rPr>
        <w:t xml:space="preserve">Cloud infrastructure and hosting providers;</w:t>
      </w:r>
    </w:p>
    <w:p>
      <w:pPr>
        <w:pStyle w:val="ListParagraph"/>
        <w:numPr>
          <w:ilvl w:val="0"/>
          <w:numId w:val="2"/>
        </w:numPr>
        <w:spacing w:after="60" w:before="60"/>
      </w:pPr>
      <w:r>
        <w:rPr>
          <w:rFonts w:ascii="Arial" w:cs="Arial" w:eastAsia="Arial" w:hAnsi="Arial"/>
          <w:color w:val="555555"/>
          <w:sz w:val="20"/>
          <w:szCs w:val="20"/>
        </w:rPr>
        <w:t xml:space="preserve">Payment processing providers;</w:t>
      </w:r>
    </w:p>
    <w:p>
      <w:pPr>
        <w:pStyle w:val="ListParagraph"/>
        <w:numPr>
          <w:ilvl w:val="0"/>
          <w:numId w:val="2"/>
        </w:numPr>
        <w:spacing w:after="60" w:before="60"/>
      </w:pPr>
      <w:r>
        <w:rPr>
          <w:rFonts w:ascii="Arial" w:cs="Arial" w:eastAsia="Arial" w:hAnsi="Arial"/>
          <w:color w:val="555555"/>
          <w:sz w:val="20"/>
          <w:szCs w:val="20"/>
        </w:rPr>
        <w:t xml:space="preserve">Authorised inspection partners.</w:t>
      </w:r>
    </w:p>
    <w:p>
      <w:pPr>
        <w:pStyle w:val="Heading2"/>
        <w:spacing w:after="120" w:before="300"/>
      </w:pPr>
      <w:r>
        <w:rPr>
          <w:rFonts w:ascii="Arial" w:cs="Arial" w:eastAsia="Arial" w:hAnsi="Arial"/>
          <w:b/>
          <w:bCs/>
          <w:color w:val="0B1F3A"/>
          <w:sz w:val="24"/>
          <w:szCs w:val="24"/>
        </w:rPr>
        <w:t xml:space="preserve">6.3 With Authorities</w:t>
      </w:r>
    </w:p>
    <w:p>
      <w:pPr>
        <w:spacing w:after="80" w:before="80"/>
        <w:jc w:val="both"/>
      </w:pPr>
      <w:r>
        <w:rPr>
          <w:rFonts w:ascii="Arial" w:cs="Arial" w:eastAsia="Arial" w:hAnsi="Arial"/>
          <w:color w:val="555555"/>
          <w:sz w:val="20"/>
          <w:szCs w:val="20"/>
        </w:rPr>
        <w:t xml:space="preserve">We may disclose personal data to Nigerian law enforcement agencies, regulatory bodies (including NITDA, CBN, EFCC, NFIU), or courts where required by law, pursuant to a valid court order, or where we reasonably believe disclosure is necessary to prevent fraud or protect the rights of our users or the public.</w:t>
      </w:r>
    </w:p>
    <w:p>
      <w:pPr>
        <w:pStyle w:val="Heading2"/>
        <w:spacing w:after="120" w:before="300"/>
      </w:pPr>
      <w:r>
        <w:rPr>
          <w:rFonts w:ascii="Arial" w:cs="Arial" w:eastAsia="Arial" w:hAnsi="Arial"/>
          <w:b/>
          <w:bCs/>
          <w:color w:val="0B1F3A"/>
          <w:sz w:val="24"/>
          <w:szCs w:val="24"/>
        </w:rPr>
        <w:t xml:space="preserve">6.4 Business Transfers</w:t>
      </w:r>
    </w:p>
    <w:p>
      <w:pPr>
        <w:spacing w:after="80" w:before="80"/>
        <w:jc w:val="both"/>
      </w:pPr>
      <w:r>
        <w:rPr>
          <w:rFonts w:ascii="Arial" w:cs="Arial" w:eastAsia="Arial" w:hAnsi="Arial"/>
          <w:color w:val="555555"/>
          <w:sz w:val="20"/>
          <w:szCs w:val="20"/>
        </w:rPr>
        <w:t xml:space="preserve">In the event of a merger, acquisition, restructuring, or sale of all or substantially all of Rava's assets, your personal data may be transferred to the acquiring entity, subject to equivalent data protection obligations.</w:t>
      </w:r>
    </w:p>
    <w:p>
      <w:pPr>
        <w:pStyle w:val="Heading2"/>
        <w:spacing w:after="120" w:before="300"/>
      </w:pPr>
      <w:r>
        <w:rPr>
          <w:rFonts w:ascii="Arial" w:cs="Arial" w:eastAsia="Arial" w:hAnsi="Arial"/>
          <w:b/>
          <w:bCs/>
          <w:color w:val="0B1F3A"/>
          <w:sz w:val="24"/>
          <w:szCs w:val="24"/>
        </w:rPr>
        <w:t xml:space="preserve">6.5 No Sale of Data</w:t>
      </w:r>
    </w:p>
    <w:p>
      <w:pPr>
        <w:spacing w:after="80" w:before="80"/>
        <w:jc w:val="both"/>
      </w:pPr>
      <w:r>
        <w:rPr>
          <w:rFonts w:ascii="Arial" w:cs="Arial" w:eastAsia="Arial" w:hAnsi="Arial"/>
          <w:color w:val="555555"/>
          <w:sz w:val="20"/>
          <w:szCs w:val="20"/>
        </w:rPr>
        <w:t xml:space="preserve">Rava does not sell, rent, or trade personal data to third parties for marketing or commercial purposes. This commitment is unconditional.</w:t>
      </w:r>
    </w:p>
    <w:p>
      <w:pPr>
        <w:pStyle w:val="Heading1"/>
        <w:spacing w:after="160" w:before="400"/>
      </w:pPr>
      <w:r>
        <w:rPr>
          <w:rFonts w:ascii="Arial" w:cs="Arial" w:eastAsia="Arial" w:hAnsi="Arial"/>
          <w:b/>
          <w:bCs/>
          <w:color w:val="0B1F3A"/>
          <w:sz w:val="28"/>
          <w:szCs w:val="28"/>
        </w:rPr>
        <w:t xml:space="preserve">7. Data Retention</w:t>
      </w:r>
    </w:p>
    <w:p>
      <w:pPr>
        <w:spacing w:after="80" w:before="80"/>
        <w:jc w:val="both"/>
      </w:pPr>
      <w:r>
        <w:rPr>
          <w:rFonts w:ascii="Arial" w:cs="Arial" w:eastAsia="Arial" w:hAnsi="Arial"/>
          <w:color w:val="555555"/>
          <w:sz w:val="20"/>
          <w:szCs w:val="20"/>
        </w:rPr>
        <w:t xml:space="preserve">We retain your personal data for as long as your account is active and for a period thereafter as required by law or legitimate business necessity:</w:t>
      </w:r>
    </w:p>
    <w:p>
      <w:pPr>
        <w:pStyle w:val="ListParagraph"/>
        <w:numPr>
          <w:ilvl w:val="0"/>
          <w:numId w:val="2"/>
        </w:numPr>
        <w:spacing w:after="60" w:before="60"/>
      </w:pPr>
      <w:r>
        <w:rPr>
          <w:rFonts w:ascii="Arial" w:cs="Arial" w:eastAsia="Arial" w:hAnsi="Arial"/>
          <w:color w:val="555555"/>
          <w:sz w:val="20"/>
          <w:szCs w:val="20"/>
        </w:rPr>
        <w:t xml:space="preserve">Active account data — retained for the duration of your account;</w:t>
      </w:r>
    </w:p>
    <w:p>
      <w:pPr>
        <w:pStyle w:val="ListParagraph"/>
        <w:numPr>
          <w:ilvl w:val="0"/>
          <w:numId w:val="2"/>
        </w:numPr>
        <w:spacing w:after="60" w:before="60"/>
      </w:pPr>
      <w:r>
        <w:rPr>
          <w:rFonts w:ascii="Arial" w:cs="Arial" w:eastAsia="Arial" w:hAnsi="Arial"/>
          <w:color w:val="555555"/>
          <w:sz w:val="20"/>
          <w:szCs w:val="20"/>
        </w:rPr>
        <w:t xml:space="preserve">Rava Score data — retained for 7 years following account closure to support dispute resolution and fraud prevention;</w:t>
      </w:r>
    </w:p>
    <w:p>
      <w:pPr>
        <w:pStyle w:val="ListParagraph"/>
        <w:numPr>
          <w:ilvl w:val="0"/>
          <w:numId w:val="2"/>
        </w:numPr>
        <w:spacing w:after="60" w:before="60"/>
      </w:pPr>
      <w:r>
        <w:rPr>
          <w:rFonts w:ascii="Arial" w:cs="Arial" w:eastAsia="Arial" w:hAnsi="Arial"/>
          <w:color w:val="555555"/>
          <w:sz w:val="20"/>
          <w:szCs w:val="20"/>
        </w:rPr>
        <w:t xml:space="preserve">Tenancy records — retained for 7 years in compliance with Nigerian commercial and tax law;</w:t>
      </w:r>
    </w:p>
    <w:p>
      <w:pPr>
        <w:pStyle w:val="ListParagraph"/>
        <w:numPr>
          <w:ilvl w:val="0"/>
          <w:numId w:val="2"/>
        </w:numPr>
        <w:spacing w:after="60" w:before="60"/>
      </w:pPr>
      <w:r>
        <w:rPr>
          <w:rFonts w:ascii="Arial" w:cs="Arial" w:eastAsia="Arial" w:hAnsi="Arial"/>
          <w:color w:val="555555"/>
          <w:sz w:val="20"/>
          <w:szCs w:val="20"/>
        </w:rPr>
        <w:t xml:space="preserve">Inspection reports — retained for 5 years;</w:t>
      </w:r>
    </w:p>
    <w:p>
      <w:pPr>
        <w:pStyle w:val="ListParagraph"/>
        <w:numPr>
          <w:ilvl w:val="0"/>
          <w:numId w:val="2"/>
        </w:numPr>
        <w:spacing w:after="60" w:before="60"/>
      </w:pPr>
      <w:r>
        <w:rPr>
          <w:rFonts w:ascii="Arial" w:cs="Arial" w:eastAsia="Arial" w:hAnsi="Arial"/>
          <w:color w:val="555555"/>
          <w:sz w:val="20"/>
          <w:szCs w:val="20"/>
        </w:rPr>
        <w:t xml:space="preserve">Financial transaction records — retained as required by the Companies and Allied Matters Act (CAMA) 2020 and applicable tax legislation;</w:t>
      </w:r>
    </w:p>
    <w:p>
      <w:pPr>
        <w:pStyle w:val="ListParagraph"/>
        <w:numPr>
          <w:ilvl w:val="0"/>
          <w:numId w:val="2"/>
        </w:numPr>
        <w:spacing w:after="60" w:before="60"/>
      </w:pPr>
      <w:r>
        <w:rPr>
          <w:rFonts w:ascii="Arial" w:cs="Arial" w:eastAsia="Arial" w:hAnsi="Arial"/>
          <w:color w:val="555555"/>
          <w:sz w:val="20"/>
          <w:szCs w:val="20"/>
        </w:rPr>
        <w:t xml:space="preserve">Inactive accounts — accounts with no activity for 24 consecutive months may be flagged for deletion following 30 days' notice to the registered email address.</w:t>
      </w:r>
    </w:p>
    <w:p>
      <w:pPr>
        <w:pStyle w:val="Heading1"/>
        <w:spacing w:after="160" w:before="400"/>
      </w:pPr>
      <w:r>
        <w:rPr>
          <w:rFonts w:ascii="Arial" w:cs="Arial" w:eastAsia="Arial" w:hAnsi="Arial"/>
          <w:b/>
          <w:bCs/>
          <w:color w:val="0B1F3A"/>
          <w:sz w:val="28"/>
          <w:szCs w:val="28"/>
        </w:rPr>
        <w:t xml:space="preserve">8. Data Security</w:t>
      </w:r>
    </w:p>
    <w:p>
      <w:pPr>
        <w:spacing w:after="80" w:before="80"/>
        <w:jc w:val="both"/>
      </w:pPr>
      <w:r>
        <w:rPr>
          <w:rFonts w:ascii="Arial" w:cs="Arial" w:eastAsia="Arial" w:hAnsi="Arial"/>
          <w:color w:val="555555"/>
          <w:sz w:val="20"/>
          <w:szCs w:val="20"/>
        </w:rPr>
        <w:t xml:space="preserve">Rava implements industry-standard technical and organisational security measures to protect your personal data, including:</w:t>
      </w:r>
    </w:p>
    <w:p>
      <w:pPr>
        <w:pStyle w:val="ListParagraph"/>
        <w:numPr>
          <w:ilvl w:val="0"/>
          <w:numId w:val="2"/>
        </w:numPr>
        <w:spacing w:after="60" w:before="60"/>
      </w:pPr>
      <w:r>
        <w:rPr>
          <w:rFonts w:ascii="Arial" w:cs="Arial" w:eastAsia="Arial" w:hAnsi="Arial"/>
          <w:color w:val="555555"/>
          <w:sz w:val="20"/>
          <w:szCs w:val="20"/>
        </w:rPr>
        <w:t xml:space="preserve">AES-256 encryption for sensitive fields (BVN, NIN, financial signals) at rest;</w:t>
      </w:r>
    </w:p>
    <w:p>
      <w:pPr>
        <w:pStyle w:val="ListParagraph"/>
        <w:numPr>
          <w:ilvl w:val="0"/>
          <w:numId w:val="2"/>
        </w:numPr>
        <w:spacing w:after="60" w:before="60"/>
      </w:pPr>
      <w:r>
        <w:rPr>
          <w:rFonts w:ascii="Arial" w:cs="Arial" w:eastAsia="Arial" w:hAnsi="Arial"/>
          <w:color w:val="555555"/>
          <w:sz w:val="20"/>
          <w:szCs w:val="20"/>
        </w:rPr>
        <w:t xml:space="preserve">TLS 1.2 or higher for all data in transit;</w:t>
      </w:r>
    </w:p>
    <w:p>
      <w:pPr>
        <w:pStyle w:val="ListParagraph"/>
        <w:numPr>
          <w:ilvl w:val="0"/>
          <w:numId w:val="2"/>
        </w:numPr>
        <w:spacing w:after="60" w:before="60"/>
      </w:pPr>
      <w:r>
        <w:rPr>
          <w:rFonts w:ascii="Arial" w:cs="Arial" w:eastAsia="Arial" w:hAnsi="Arial"/>
          <w:color w:val="555555"/>
          <w:sz w:val="20"/>
          <w:szCs w:val="20"/>
        </w:rPr>
        <w:t xml:space="preserve">Role-based access controls limiting employee access to personal data on a need-to-know basis;</w:t>
      </w:r>
    </w:p>
    <w:p>
      <w:pPr>
        <w:pStyle w:val="ListParagraph"/>
        <w:numPr>
          <w:ilvl w:val="0"/>
          <w:numId w:val="2"/>
        </w:numPr>
        <w:spacing w:after="60" w:before="60"/>
      </w:pPr>
      <w:r>
        <w:rPr>
          <w:rFonts w:ascii="Arial" w:cs="Arial" w:eastAsia="Arial" w:hAnsi="Arial"/>
          <w:color w:val="555555"/>
          <w:sz w:val="20"/>
          <w:szCs w:val="20"/>
        </w:rPr>
        <w:t xml:space="preserve">Regular security audits and penetration testing;</w:t>
      </w:r>
    </w:p>
    <w:p>
      <w:pPr>
        <w:pStyle w:val="ListParagraph"/>
        <w:numPr>
          <w:ilvl w:val="0"/>
          <w:numId w:val="2"/>
        </w:numPr>
        <w:spacing w:after="60" w:before="60"/>
      </w:pPr>
      <w:r>
        <w:rPr>
          <w:rFonts w:ascii="Arial" w:cs="Arial" w:eastAsia="Arial" w:hAnsi="Arial"/>
          <w:color w:val="555555"/>
          <w:sz w:val="20"/>
          <w:szCs w:val="20"/>
        </w:rPr>
        <w:t xml:space="preserve">Incident response procedures compliant with NDPR breach notification requirements.</w:t>
      </w:r>
    </w:p>
    <w:p>
      <w:pPr>
        <w:spacing w:after="80" w:before="80"/>
        <w:jc w:val="both"/>
      </w:pPr>
      <w:r>
        <w:rPr>
          <w:rFonts w:ascii="Arial" w:cs="Arial" w:eastAsia="Arial" w:hAnsi="Arial"/>
          <w:color w:val="555555"/>
          <w:sz w:val="20"/>
          <w:szCs w:val="20"/>
        </w:rPr>
        <w:t xml:space="preserve">In the event of a personal data breach that poses a risk to your rights and freedoms, Rava will notify NITDA within 72 hours of becoming aware of the breach and will notify affected users without undue delay.</w:t>
      </w:r>
    </w:p>
    <w:p>
      <w:pPr>
        <w:pStyle w:val="Heading1"/>
        <w:spacing w:after="160" w:before="400"/>
      </w:pPr>
      <w:r>
        <w:rPr>
          <w:rFonts w:ascii="Arial" w:cs="Arial" w:eastAsia="Arial" w:hAnsi="Arial"/>
          <w:b/>
          <w:bCs/>
          <w:color w:val="0B1F3A"/>
          <w:sz w:val="28"/>
          <w:szCs w:val="28"/>
        </w:rPr>
        <w:t xml:space="preserve">9. Your Rights Under the NDPR</w:t>
      </w:r>
    </w:p>
    <w:p>
      <w:pPr>
        <w:spacing w:after="80" w:before="80"/>
        <w:jc w:val="both"/>
      </w:pPr>
      <w:r>
        <w:rPr>
          <w:rFonts w:ascii="Arial" w:cs="Arial" w:eastAsia="Arial" w:hAnsi="Arial"/>
          <w:color w:val="555555"/>
          <w:sz w:val="20"/>
          <w:szCs w:val="20"/>
        </w:rPr>
        <w:t xml:space="preserve">As a data subject under the NDPR 2019, you have the following rights:</w:t>
      </w:r>
    </w:p>
    <w:p>
      <w:pPr>
        <w:pStyle w:val="ListParagraph"/>
        <w:numPr>
          <w:ilvl w:val="0"/>
          <w:numId w:val="2"/>
        </w:numPr>
        <w:spacing w:after="60" w:before="60"/>
      </w:pPr>
      <w:r>
        <w:rPr>
          <w:rFonts w:ascii="Arial" w:cs="Arial" w:eastAsia="Arial" w:hAnsi="Arial"/>
          <w:color w:val="555555"/>
          <w:sz w:val="20"/>
          <w:szCs w:val="20"/>
        </w:rPr>
        <w:t xml:space="preserve">Right to access — request a copy of the personal data we hold about you;</w:t>
      </w:r>
    </w:p>
    <w:p>
      <w:pPr>
        <w:pStyle w:val="ListParagraph"/>
        <w:numPr>
          <w:ilvl w:val="0"/>
          <w:numId w:val="2"/>
        </w:numPr>
        <w:spacing w:after="60" w:before="60"/>
      </w:pPr>
      <w:r>
        <w:rPr>
          <w:rFonts w:ascii="Arial" w:cs="Arial" w:eastAsia="Arial" w:hAnsi="Arial"/>
          <w:color w:val="555555"/>
          <w:sz w:val="20"/>
          <w:szCs w:val="20"/>
        </w:rPr>
        <w:t xml:space="preserve">Right to rectification — request correction of inaccurate or incomplete data;</w:t>
      </w:r>
    </w:p>
    <w:p>
      <w:pPr>
        <w:pStyle w:val="ListParagraph"/>
        <w:numPr>
          <w:ilvl w:val="0"/>
          <w:numId w:val="2"/>
        </w:numPr>
        <w:spacing w:after="60" w:before="60"/>
      </w:pPr>
      <w:r>
        <w:rPr>
          <w:rFonts w:ascii="Arial" w:cs="Arial" w:eastAsia="Arial" w:hAnsi="Arial"/>
          <w:color w:val="555555"/>
          <w:sz w:val="20"/>
          <w:szCs w:val="20"/>
        </w:rPr>
        <w:t xml:space="preserve">Right to erasure — request deletion of your personal data (subject to legal retention obligations);</w:t>
      </w:r>
    </w:p>
    <w:p>
      <w:pPr>
        <w:pStyle w:val="ListParagraph"/>
        <w:numPr>
          <w:ilvl w:val="0"/>
          <w:numId w:val="2"/>
        </w:numPr>
        <w:spacing w:after="60" w:before="60"/>
      </w:pPr>
      <w:r>
        <w:rPr>
          <w:rFonts w:ascii="Arial" w:cs="Arial" w:eastAsia="Arial" w:hAnsi="Arial"/>
          <w:color w:val="555555"/>
          <w:sz w:val="20"/>
          <w:szCs w:val="20"/>
        </w:rPr>
        <w:t xml:space="preserve">Right to withdraw consent — withdraw consent to processing at any time, without affecting the lawfulness of prior processing;</w:t>
      </w:r>
    </w:p>
    <w:p>
      <w:pPr>
        <w:pStyle w:val="ListParagraph"/>
        <w:numPr>
          <w:ilvl w:val="0"/>
          <w:numId w:val="2"/>
        </w:numPr>
        <w:spacing w:after="60" w:before="60"/>
      </w:pPr>
      <w:r>
        <w:rPr>
          <w:rFonts w:ascii="Arial" w:cs="Arial" w:eastAsia="Arial" w:hAnsi="Arial"/>
          <w:color w:val="555555"/>
          <w:sz w:val="20"/>
          <w:szCs w:val="20"/>
        </w:rPr>
        <w:t xml:space="preserve">Right to data portability — receive your personal data in a structured, commonly used format;</w:t>
      </w:r>
    </w:p>
    <w:p>
      <w:pPr>
        <w:pStyle w:val="ListParagraph"/>
        <w:numPr>
          <w:ilvl w:val="0"/>
          <w:numId w:val="2"/>
        </w:numPr>
        <w:spacing w:after="60" w:before="60"/>
      </w:pPr>
      <w:r>
        <w:rPr>
          <w:rFonts w:ascii="Arial" w:cs="Arial" w:eastAsia="Arial" w:hAnsi="Arial"/>
          <w:color w:val="555555"/>
          <w:sz w:val="20"/>
          <w:szCs w:val="20"/>
        </w:rPr>
        <w:t xml:space="preserve">Right to object — object to processing based on legitimate interest;</w:t>
      </w:r>
    </w:p>
    <w:p>
      <w:pPr>
        <w:pStyle w:val="ListParagraph"/>
        <w:numPr>
          <w:ilvl w:val="0"/>
          <w:numId w:val="2"/>
        </w:numPr>
        <w:spacing w:after="60" w:before="60"/>
      </w:pPr>
      <w:r>
        <w:rPr>
          <w:rFonts w:ascii="Arial" w:cs="Arial" w:eastAsia="Arial" w:hAnsi="Arial"/>
          <w:color w:val="555555"/>
          <w:sz w:val="20"/>
          <w:szCs w:val="20"/>
        </w:rPr>
        <w:t xml:space="preserve">Right to lodge a complaint — file a complaint with the National Information Technology Development Agency (NITDA) at nitda.gov.ng.</w:t>
      </w:r>
    </w:p>
    <w:p>
      <w:pPr>
        <w:spacing w:after="80" w:before="80"/>
        <w:jc w:val="both"/>
      </w:pPr>
      <w:r>
        <w:rPr>
          <w:rFonts w:ascii="Arial" w:cs="Arial" w:eastAsia="Arial" w:hAnsi="Arial"/>
          <w:color w:val="555555"/>
          <w:sz w:val="20"/>
          <w:szCs w:val="20"/>
        </w:rPr>
        <w:t xml:space="preserve">To exercise any of these rights, submit a written request to legal@rava.io. We will respond within 30 days.</w:t>
      </w:r>
    </w:p>
    <w:p>
      <w:pPr>
        <w:pStyle w:val="Heading1"/>
        <w:spacing w:after="160" w:before="400"/>
      </w:pPr>
      <w:r>
        <w:rPr>
          <w:rFonts w:ascii="Arial" w:cs="Arial" w:eastAsia="Arial" w:hAnsi="Arial"/>
          <w:b/>
          <w:bCs/>
          <w:color w:val="0B1F3A"/>
          <w:sz w:val="28"/>
          <w:szCs w:val="28"/>
        </w:rPr>
        <w:t xml:space="preserve">10. Cookies and Tracking</w:t>
      </w:r>
    </w:p>
    <w:p>
      <w:pPr>
        <w:spacing w:after="80" w:before="80"/>
        <w:jc w:val="both"/>
      </w:pPr>
      <w:r>
        <w:rPr>
          <w:rFonts w:ascii="Arial" w:cs="Arial" w:eastAsia="Arial" w:hAnsi="Arial"/>
          <w:color w:val="555555"/>
          <w:sz w:val="20"/>
          <w:szCs w:val="20"/>
        </w:rPr>
        <w:t xml:space="preserve">Rava uses cookies and similar tracking technologies to operate the Platform, remember your preferences, and analyse usage. You may configure your browser to reject cookies, but doing so may limit certain Platform functionality. We do not use cookies for third-party advertising purposes.</w:t>
      </w:r>
    </w:p>
    <w:p>
      <w:pPr>
        <w:pStyle w:val="Heading1"/>
        <w:spacing w:after="160" w:before="400"/>
      </w:pPr>
      <w:r>
        <w:rPr>
          <w:rFonts w:ascii="Arial" w:cs="Arial" w:eastAsia="Arial" w:hAnsi="Arial"/>
          <w:b/>
          <w:bCs/>
          <w:color w:val="0B1F3A"/>
          <w:sz w:val="28"/>
          <w:szCs w:val="28"/>
        </w:rPr>
        <w:t xml:space="preserve">11. Children's Privacy</w:t>
      </w:r>
    </w:p>
    <w:p>
      <w:pPr>
        <w:spacing w:after="80" w:before="80"/>
        <w:jc w:val="both"/>
      </w:pPr>
      <w:r>
        <w:rPr>
          <w:rFonts w:ascii="Arial" w:cs="Arial" w:eastAsia="Arial" w:hAnsi="Arial"/>
          <w:color w:val="555555"/>
          <w:sz w:val="20"/>
          <w:szCs w:val="20"/>
        </w:rPr>
        <w:t xml:space="preserve">The Platform is not directed at individuals under the age of 18. We do not knowingly collect personal data from minors. If we become aware that a minor has submitted personal data, we will delete it promptly. If you believe a minor has created an account, please contact us at legal@rava.io.</w:t>
      </w:r>
    </w:p>
    <w:p>
      <w:pPr>
        <w:pStyle w:val="Heading1"/>
        <w:spacing w:after="160" w:before="400"/>
      </w:pPr>
      <w:r>
        <w:rPr>
          <w:rFonts w:ascii="Arial" w:cs="Arial" w:eastAsia="Arial" w:hAnsi="Arial"/>
          <w:b/>
          <w:bCs/>
          <w:color w:val="0B1F3A"/>
          <w:sz w:val="28"/>
          <w:szCs w:val="28"/>
        </w:rPr>
        <w:t xml:space="preserve">12. International Data Transfers</w:t>
      </w:r>
    </w:p>
    <w:p>
      <w:pPr>
        <w:spacing w:after="80" w:before="80"/>
        <w:jc w:val="both"/>
      </w:pPr>
      <w:r>
        <w:rPr>
          <w:rFonts w:ascii="Arial" w:cs="Arial" w:eastAsia="Arial" w:hAnsi="Arial"/>
          <w:color w:val="555555"/>
          <w:sz w:val="20"/>
          <w:szCs w:val="20"/>
        </w:rPr>
        <w:t xml:space="preserve">Rava's primary data processing occurs within Nigeria. Where data is processed by third-party service providers located outside Nigeria, Rava ensures that adequate protections are in place, including contractual data processing agreements that meet or exceed NDPR standards.</w:t>
      </w:r>
    </w:p>
    <w:p>
      <w:pPr>
        <w:pStyle w:val="Heading1"/>
        <w:spacing w:after="160" w:before="400"/>
      </w:pPr>
      <w:r>
        <w:rPr>
          <w:rFonts w:ascii="Arial" w:cs="Arial" w:eastAsia="Arial" w:hAnsi="Arial"/>
          <w:b/>
          <w:bCs/>
          <w:color w:val="0B1F3A"/>
          <w:sz w:val="28"/>
          <w:szCs w:val="28"/>
        </w:rPr>
        <w:t xml:space="preserve">13. Changes to This Privacy Policy</w:t>
      </w:r>
    </w:p>
    <w:p>
      <w:pPr>
        <w:spacing w:after="80" w:before="80"/>
        <w:jc w:val="both"/>
      </w:pPr>
      <w:r>
        <w:rPr>
          <w:rFonts w:ascii="Arial" w:cs="Arial" w:eastAsia="Arial" w:hAnsi="Arial"/>
          <w:color w:val="555555"/>
          <w:sz w:val="20"/>
          <w:szCs w:val="20"/>
        </w:rPr>
        <w:t xml:space="preserve">Rava may update this Privacy Policy from time to time to reflect changes in our practices, legal obligations, or Platform features. Updated versions will be published at rava.io/privacy with a revised effective date. Material changes will be communicated to registered users by email or in-app notification at least 14 days before taking effect.</w:t>
      </w:r>
    </w:p>
    <w:p>
      <w:pPr>
        <w:pStyle w:val="Heading1"/>
        <w:spacing w:after="160" w:before="400"/>
      </w:pPr>
      <w:r>
        <w:rPr>
          <w:rFonts w:ascii="Arial" w:cs="Arial" w:eastAsia="Arial" w:hAnsi="Arial"/>
          <w:b/>
          <w:bCs/>
          <w:color w:val="0B1F3A"/>
          <w:sz w:val="28"/>
          <w:szCs w:val="28"/>
        </w:rPr>
        <w:t xml:space="preserve">14. Contact and Complaints</w:t>
      </w:r>
    </w:p>
    <w:p>
      <w:pPr>
        <w:spacing w:after="80" w:before="80"/>
        <w:jc w:val="both"/>
      </w:pPr>
      <w:r>
        <w:rPr>
          <w:rFonts w:ascii="Arial" w:cs="Arial" w:eastAsia="Arial" w:hAnsi="Arial"/>
          <w:color w:val="555555"/>
          <w:sz w:val="20"/>
          <w:szCs w:val="20"/>
        </w:rPr>
        <w:t xml:space="preserve">For any questions, concerns, or requests regarding this Privacy Policy or our data practices, please contact our Data Protection Officer:</w:t>
      </w:r>
    </w:p>
    <w:p>
      <w:pPr>
        <w:spacing w:after="0" w:before="0"/>
      </w:pPr>
      <w:r>
        <w:rPr>
          <w:rFonts w:ascii="Arial" w:cs="Arial" w:eastAsia="Arial" w:hAnsi="Arial"/>
          <w:sz w:val="20"/>
          <w:szCs w:val="20"/>
        </w:rPr>
        <w:t xml:space="preserve"/>
      </w:r>
    </w:p>
    <w:p>
      <w:pPr>
        <w:spacing w:after="80" w:before="80"/>
        <w:jc w:val="both"/>
      </w:pPr>
      <w:r>
        <w:rPr>
          <w:rFonts w:ascii="Arial" w:cs="Arial" w:eastAsia="Arial" w:hAnsi="Arial"/>
          <w:b/>
          <w:bCs/>
          <w:color w:val="555555"/>
          <w:sz w:val="20"/>
          <w:szCs w:val="20"/>
        </w:rPr>
        <w:t xml:space="preserve">Rava Technology Limited</w:t>
      </w:r>
    </w:p>
    <w:p>
      <w:pPr>
        <w:spacing w:after="80" w:before="80"/>
        <w:jc w:val="both"/>
      </w:pPr>
      <w:r>
        <w:rPr>
          <w:rFonts w:ascii="Arial" w:cs="Arial" w:eastAsia="Arial" w:hAnsi="Arial"/>
          <w:color w:val="555555"/>
          <w:sz w:val="20"/>
          <w:szCs w:val="20"/>
        </w:rPr>
        <w:t xml:space="preserve">Attn: Data Protection Officer</w:t>
      </w:r>
    </w:p>
    <w:p>
      <w:pPr>
        <w:spacing w:after="80" w:before="80"/>
        <w:jc w:val="both"/>
      </w:pPr>
      <w:r>
        <w:rPr>
          <w:rFonts w:ascii="Arial" w:cs="Arial" w:eastAsia="Arial" w:hAnsi="Arial"/>
          <w:color w:val="555555"/>
          <w:sz w:val="20"/>
          <w:szCs w:val="20"/>
        </w:rPr>
        <w:t xml:space="preserve">Lagos, Nigeria</w:t>
      </w:r>
    </w:p>
    <w:p>
      <w:pPr>
        <w:spacing w:after="80" w:before="80"/>
        <w:jc w:val="both"/>
      </w:pPr>
      <w:r>
        <w:rPr>
          <w:rFonts w:ascii="Arial" w:cs="Arial" w:eastAsia="Arial" w:hAnsi="Arial"/>
          <w:color w:val="555555"/>
          <w:sz w:val="20"/>
          <w:szCs w:val="20"/>
        </w:rPr>
        <w:t xml:space="preserve">legal@rava.io</w:t>
      </w:r>
    </w:p>
    <w:p>
      <w:pPr>
        <w:spacing w:after="80" w:before="80"/>
        <w:jc w:val="both"/>
      </w:pPr>
      <w:r>
        <w:rPr>
          <w:rFonts w:ascii="Arial" w:cs="Arial" w:eastAsia="Arial" w:hAnsi="Arial"/>
          <w:color w:val="555555"/>
          <w:sz w:val="20"/>
          <w:szCs w:val="20"/>
        </w:rPr>
        <w:t xml:space="preserve">rava.io</w:t>
      </w:r>
    </w:p>
    <w:p>
      <w:pPr>
        <w:spacing w:after="0" w:before="0"/>
      </w:pPr>
      <w:r>
        <w:rPr>
          <w:rFonts w:ascii="Arial" w:cs="Arial" w:eastAsia="Arial" w:hAnsi="Arial"/>
          <w:sz w:val="20"/>
          <w:szCs w:val="20"/>
        </w:rPr>
        <w:t xml:space="preserve"/>
      </w:r>
    </w:p>
    <w:p>
      <w:pPr>
        <w:spacing w:after="80" w:before="80"/>
        <w:jc w:val="both"/>
      </w:pPr>
      <w:r>
        <w:rPr>
          <w:rFonts w:ascii="Arial" w:cs="Arial" w:eastAsia="Arial" w:hAnsi="Arial"/>
          <w:color w:val="555555"/>
          <w:sz w:val="20"/>
          <w:szCs w:val="20"/>
        </w:rPr>
        <w:t xml:space="preserve">If you are not satisfied with our response, you have the right to lodge a complaint with the National Information Technology Development Agency (NITDA), which is Nigeria's data protection supervisory authority.</w:t>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0"/>
      </w:pPr>
      <w:r>
        <w:rPr>
          <w:rFonts w:ascii="Arial" w:cs="Arial" w:eastAsia="Arial" w:hAnsi="Arial"/>
          <w:sz w:val="20"/>
          <w:szCs w:val="20"/>
        </w:rPr>
        <w:t xml:space="preserve"/>
      </w:r>
    </w:p>
    <w:p>
      <w:pPr>
        <w:spacing w:after="0" w:before="400"/>
        <w:jc w:val="center"/>
      </w:pPr>
      <w:r>
        <w:rPr>
          <w:rFonts w:ascii="Arial" w:cs="Arial" w:eastAsia="Arial" w:hAnsi="Arial"/>
          <w:color w:val="888888"/>
          <w:sz w:val="18"/>
          <w:szCs w:val="18"/>
        </w:rPr>
        <w:t xml:space="preserve">© 2026 Rava Technology Limited. All Rights Reserved.</w:t>
      </w:r>
    </w:p>
    <w:sectPr>
      <w:headerReference w:type="default" r:id="rId9"/>
      <w:footerReference w:type="default" r:id="rId10"/>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6"/>
        <w:szCs w:val="16"/>
      </w:rPr>
      <w:t xml:space="preserve">rava.io  |  legal@rava.io  |  Page </w:t>
    </w:r>
    <w:r>
      <w:rPr>
        <w:rFonts w:ascii="Arial" w:cs="Arial" w:eastAsia="Arial" w:hAnsi="Arial"/>
        <w:color w:val="888888"/>
        <w:sz w:val="16"/>
        <w:szCs w:val="16"/>
      </w:rPr>
      <w:fldChar w:fldCharType="begin"/>
      <w:instrText xml:space="preserve">PAGE</w:instrText>
      <w:fldChar w:fldCharType="separate"/>
      <w:fldChar w:fldCharType="end"/>
    </w:r>
    <w:r>
      <w:rPr>
        <w:rFonts w:ascii="Arial" w:cs="Arial" w:eastAsia="Arial" w:hAnsi="Arial"/>
        <w:color w:val="888888"/>
        <w:sz w:val="16"/>
        <w:szCs w:val="16"/>
      </w:rPr>
      <w:t xml:space="preserve"> of </w:t>
    </w:r>
    <w:r>
      <w:rPr>
        <w:rFonts w:ascii="Arial" w:cs="Arial" w:eastAsia="Arial" w:hAnsi="Arial"/>
        <w:color w:val="888888"/>
        <w:sz w:val="16"/>
        <w:szCs w:val="16"/>
      </w:rPr>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6"/>
        <w:szCs w:val="16"/>
      </w:rPr>
      <w:t xml:space="preserve">rava.io  |  legal@rava.io  |  Page </w:t>
    </w:r>
    <w:r>
      <w:rPr>
        <w:rFonts w:ascii="Arial" w:cs="Arial" w:eastAsia="Arial" w:hAnsi="Arial"/>
        <w:color w:val="888888"/>
        <w:sz w:val="16"/>
        <w:szCs w:val="16"/>
      </w:rPr>
      <w:fldChar w:fldCharType="begin"/>
      <w:instrText xml:space="preserve">PAGE</w:instrText>
      <w:fldChar w:fldCharType="separate"/>
      <w:fldChar w:fldCharType="end"/>
    </w:r>
    <w:r>
      <w:rPr>
        <w:rFonts w:ascii="Arial" w:cs="Arial" w:eastAsia="Arial" w:hAnsi="Arial"/>
        <w:color w:val="888888"/>
        <w:sz w:val="16"/>
        <w:szCs w:val="16"/>
      </w:rPr>
      <w:t xml:space="preserve"> of </w:t>
    </w:r>
    <w:r>
      <w:rPr>
        <w:rFonts w:ascii="Arial" w:cs="Arial" w:eastAsia="Arial" w:hAnsi="Arial"/>
        <w:color w:val="88888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888888"/>
        <w:sz w:val="18"/>
        <w:szCs w:val="18"/>
      </w:rPr>
      <w:t xml:space="preserve">Rava Terms and Conditions  |  Confidential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888888"/>
        <w:sz w:val="18"/>
        <w:szCs w:val="18"/>
      </w:rPr>
      <w:t xml:space="preserve">Rava Privacy Policy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Arial" w:cs="Arial" w:eastAsia="Arial" w:hAnsi="Arial"/>
      <w:b/>
      <w:bCs/>
      <w:color w:val="0B1F3A"/>
      <w:sz w:val="28"/>
      <w:szCs w:val="28"/>
    </w:rPr>
  </w:style>
  <w:style w:type="paragraph" w:styleId="Heading2">
    <w:name w:val="Heading 2"/>
    <w:basedOn w:val="Normal"/>
    <w:next w:val="Normal"/>
    <w:qFormat/>
    <w:pPr>
      <w:spacing w:after="120" w:before="300"/>
      <w:outlineLvl w:val="1"/>
    </w:pPr>
    <w:rPr>
      <w:rFonts w:ascii="Arial" w:cs="Arial" w:eastAsia="Arial" w:hAnsi="Arial"/>
      <w:b/>
      <w:bCs/>
      <w:color w:val="0B1F3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2026-04-08T12:52:11.927Z</dcterms:created>
  <dcterms:modified xsi:type="dcterms:W3CDTF">2026-04-08T12:52:11.927Z</dcterms:modified>
</cp:coreProperties>
</file>

<file path=docProps/custom.xml><?xml version="1.0" encoding="utf-8"?>
<Properties xmlns="http://schemas.openxmlformats.org/officeDocument/2006/custom-properties" xmlns:vt="http://schemas.openxmlformats.org/officeDocument/2006/docPropsVTypes"/>
</file>